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ascii="Times New Roman" w:hAnsi="Times New Roman"/>
          <w:b/>
          <w:sz w:val="44"/>
          <w:szCs w:val="44"/>
        </w:rPr>
      </w:pPr>
      <w:bookmarkStart w:id="0" w:name="_Toc405393372"/>
      <w:bookmarkStart w:id="1" w:name="_Toc407696129"/>
      <w:bookmarkStart w:id="2" w:name="_Toc303837889"/>
      <w:bookmarkStart w:id="3" w:name="_Toc407697887"/>
      <w:bookmarkStart w:id="4" w:name="_Toc46303703"/>
      <w:bookmarkStart w:id="5" w:name="_Toc305418726"/>
      <w:bookmarkStart w:id="6" w:name="_Hlk11185683"/>
    </w:p>
    <w:p>
      <w:pPr>
        <w:widowControl/>
        <w:spacing w:line="240" w:lineRule="auto"/>
        <w:ind w:firstLine="0" w:firstLineChars="0"/>
        <w:jc w:val="left"/>
        <w:rPr>
          <w:rFonts w:ascii="Times New Roman" w:hAnsi="Times New Roman"/>
          <w:b/>
          <w:sz w:val="44"/>
          <w:szCs w:val="44"/>
        </w:rPr>
      </w:pPr>
    </w:p>
    <w:p>
      <w:pPr>
        <w:widowControl/>
        <w:spacing w:line="720" w:lineRule="auto"/>
        <w:ind w:firstLine="0" w:firstLineChars="0"/>
        <w:jc w:val="center"/>
        <w:rPr>
          <w:rFonts w:ascii="Times New Roman" w:hAnsi="Times New Roman"/>
          <w:b/>
          <w:sz w:val="44"/>
          <w:szCs w:val="44"/>
        </w:rPr>
      </w:pPr>
      <w:r>
        <w:rPr>
          <w:rFonts w:ascii="Times New Roman" w:hAnsi="Times New Roman"/>
          <w:b/>
          <w:sz w:val="44"/>
          <w:szCs w:val="44"/>
        </w:rPr>
        <w:drawing>
          <wp:inline distT="0" distB="0" distL="0" distR="0">
            <wp:extent cx="5274310" cy="1021080"/>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9" cstate="print"/>
                    <a:stretch>
                      <a:fillRect/>
                    </a:stretch>
                  </pic:blipFill>
                  <pic:spPr>
                    <a:xfrm>
                      <a:off x="0" y="0"/>
                      <a:ext cx="5274310" cy="1021080"/>
                    </a:xfrm>
                    <a:prstGeom prst="rect">
                      <a:avLst/>
                    </a:prstGeom>
                  </pic:spPr>
                </pic:pic>
              </a:graphicData>
            </a:graphic>
          </wp:inline>
        </w:drawing>
      </w:r>
    </w:p>
    <w:p>
      <w:pPr>
        <w:spacing w:line="900" w:lineRule="auto"/>
        <w:ind w:firstLine="0" w:firstLineChars="0"/>
        <w:jc w:val="center"/>
        <w:rPr>
          <w:rFonts w:ascii="Times New Roman" w:hAnsi="Times New Roman" w:eastAsia="黑体"/>
          <w:b/>
          <w:bCs/>
          <w:spacing w:val="24"/>
          <w:sz w:val="84"/>
          <w:szCs w:val="84"/>
        </w:rPr>
      </w:pPr>
      <w:r>
        <w:rPr>
          <w:rFonts w:ascii="Times New Roman" w:hAnsi="Times New Roman" w:eastAsia="黑体"/>
          <w:b/>
          <w:bCs/>
          <w:spacing w:val="24"/>
          <w:sz w:val="84"/>
          <w:szCs w:val="84"/>
        </w:rPr>
        <w:t>202</w:t>
      </w:r>
      <w:r>
        <w:rPr>
          <w:rFonts w:hint="eastAsia" w:ascii="Times New Roman" w:hAnsi="Times New Roman" w:eastAsia="黑体"/>
          <w:b/>
          <w:bCs/>
          <w:spacing w:val="24"/>
          <w:sz w:val="84"/>
          <w:szCs w:val="84"/>
          <w:lang w:val="en-US" w:eastAsia="zh-CN"/>
        </w:rPr>
        <w:t>3</w:t>
      </w:r>
      <w:r>
        <w:rPr>
          <w:rFonts w:ascii="Times New Roman" w:hAnsi="Times New Roman" w:eastAsia="黑体"/>
          <w:b/>
          <w:bCs/>
          <w:spacing w:val="24"/>
          <w:sz w:val="84"/>
          <w:szCs w:val="84"/>
        </w:rPr>
        <w:t>级人才培养方案</w:t>
      </w:r>
    </w:p>
    <w:p>
      <w:pPr>
        <w:spacing w:line="720" w:lineRule="auto"/>
        <w:ind w:firstLine="0" w:firstLineChars="0"/>
        <w:jc w:val="center"/>
        <w:rPr>
          <w:rFonts w:ascii="Times New Roman" w:hAnsi="Times New Roman" w:eastAsia="黑体"/>
          <w:b/>
          <w:bCs/>
          <w:spacing w:val="24"/>
          <w:sz w:val="84"/>
          <w:szCs w:val="84"/>
        </w:rPr>
      </w:pPr>
    </w:p>
    <w:p>
      <w:pPr>
        <w:spacing w:line="240" w:lineRule="auto"/>
        <w:ind w:firstLine="0" w:firstLineChars="0"/>
        <w:jc w:val="center"/>
        <w:rPr>
          <w:rFonts w:ascii="Times New Roman" w:hAnsi="Times New Roman"/>
          <w:b/>
          <w:spacing w:val="24"/>
          <w:sz w:val="44"/>
          <w:szCs w:val="44"/>
        </w:rPr>
      </w:pPr>
      <w:r>
        <w:rPr>
          <w:rFonts w:hint="eastAsia" w:ascii="Times New Roman" w:hAnsi="Times New Roman"/>
          <w:b/>
          <w:bCs/>
          <w:spacing w:val="24"/>
          <w:sz w:val="66"/>
          <w:szCs w:val="66"/>
        </w:rPr>
        <w:t>信息安全</w:t>
      </w:r>
      <w:r>
        <w:rPr>
          <w:rFonts w:ascii="Times New Roman" w:hAnsi="Times New Roman"/>
          <w:b/>
          <w:bCs/>
          <w:spacing w:val="24"/>
          <w:sz w:val="66"/>
          <w:szCs w:val="66"/>
        </w:rPr>
        <w:t>技术</w:t>
      </w:r>
      <w:r>
        <w:rPr>
          <w:rFonts w:hint="eastAsia" w:ascii="Times New Roman" w:hAnsi="Times New Roman"/>
          <w:b/>
          <w:bCs/>
          <w:spacing w:val="24"/>
          <w:sz w:val="66"/>
          <w:szCs w:val="66"/>
        </w:rPr>
        <w:t>应用</w:t>
      </w:r>
      <w:r>
        <w:rPr>
          <w:rFonts w:ascii="Times New Roman" w:hAnsi="Times New Roman"/>
          <w:b/>
          <w:bCs/>
          <w:spacing w:val="24"/>
          <w:sz w:val="66"/>
          <w:szCs w:val="66"/>
        </w:rPr>
        <w:t>专业</w:t>
      </w:r>
    </w:p>
    <w:p>
      <w:pPr>
        <w:spacing w:line="240" w:lineRule="auto"/>
        <w:ind w:firstLine="0" w:firstLineChars="0"/>
        <w:jc w:val="center"/>
        <w:rPr>
          <w:rFonts w:ascii="Times New Roman" w:hAnsi="Times New Roman"/>
          <w:b/>
          <w:sz w:val="44"/>
          <w:szCs w:val="44"/>
        </w:rPr>
      </w:pPr>
    </w:p>
    <w:p>
      <w:pPr>
        <w:spacing w:line="240" w:lineRule="auto"/>
        <w:ind w:firstLine="0" w:firstLineChars="0"/>
        <w:jc w:val="center"/>
        <w:rPr>
          <w:rFonts w:ascii="Times New Roman" w:hAnsi="Times New Roman"/>
          <w:b/>
          <w:sz w:val="44"/>
          <w:szCs w:val="44"/>
        </w:rPr>
      </w:pPr>
    </w:p>
    <w:p>
      <w:pPr>
        <w:spacing w:line="240" w:lineRule="auto"/>
        <w:ind w:firstLine="0" w:firstLineChars="0"/>
        <w:rPr>
          <w:rFonts w:ascii="Times New Roman" w:hAnsi="Times New Roman"/>
          <w:b/>
          <w:sz w:val="44"/>
          <w:szCs w:val="44"/>
        </w:rPr>
      </w:pPr>
    </w:p>
    <w:p>
      <w:pPr>
        <w:spacing w:line="240" w:lineRule="auto"/>
        <w:ind w:firstLine="0" w:firstLineChars="0"/>
        <w:jc w:val="center"/>
        <w:rPr>
          <w:rFonts w:ascii="Times New Roman" w:hAnsi="Times New Roman"/>
          <w:b/>
          <w:sz w:val="44"/>
          <w:szCs w:val="44"/>
        </w:rPr>
      </w:pPr>
    </w:p>
    <w:p>
      <w:pPr>
        <w:spacing w:line="240" w:lineRule="auto"/>
        <w:ind w:firstLine="0" w:firstLineChars="0"/>
        <w:jc w:val="center"/>
        <w:rPr>
          <w:rFonts w:ascii="Times New Roman" w:hAnsi="Times New Roman"/>
          <w:b/>
          <w:sz w:val="44"/>
          <w:szCs w:val="44"/>
        </w:rPr>
      </w:pPr>
    </w:p>
    <w:p>
      <w:pPr>
        <w:spacing w:line="240" w:lineRule="auto"/>
        <w:ind w:firstLine="0" w:firstLineChars="0"/>
        <w:jc w:val="center"/>
        <w:rPr>
          <w:rFonts w:ascii="Times New Roman" w:hAnsi="Times New Roman"/>
          <w:b/>
          <w:sz w:val="44"/>
          <w:szCs w:val="44"/>
        </w:rPr>
      </w:pPr>
    </w:p>
    <w:p>
      <w:pPr>
        <w:spacing w:line="240" w:lineRule="auto"/>
        <w:ind w:firstLine="0" w:firstLineChars="0"/>
        <w:jc w:val="center"/>
        <w:rPr>
          <w:rFonts w:ascii="Times New Roman" w:hAnsi="Times New Roman"/>
          <w:b/>
          <w:sz w:val="44"/>
          <w:szCs w:val="44"/>
        </w:rPr>
      </w:pPr>
    </w:p>
    <w:p>
      <w:pPr>
        <w:autoSpaceDE w:val="0"/>
        <w:autoSpaceDN w:val="0"/>
        <w:adjustRightInd w:val="0"/>
        <w:spacing w:line="500" w:lineRule="exact"/>
        <w:ind w:firstLine="0" w:firstLineChars="0"/>
        <w:jc w:val="center"/>
        <w:rPr>
          <w:rFonts w:ascii="Times New Roman" w:hAnsi="Times New Roman" w:eastAsia="楷体_GB2312"/>
          <w:bCs/>
          <w:color w:val="000000"/>
          <w:kern w:val="0"/>
          <w:sz w:val="44"/>
          <w:szCs w:val="44"/>
        </w:rPr>
      </w:pPr>
    </w:p>
    <w:p>
      <w:pPr>
        <w:autoSpaceDE w:val="0"/>
        <w:autoSpaceDN w:val="0"/>
        <w:adjustRightInd w:val="0"/>
        <w:spacing w:line="500" w:lineRule="exact"/>
        <w:ind w:firstLine="0" w:firstLineChars="0"/>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二〇二</w:t>
      </w:r>
      <w:r>
        <w:rPr>
          <w:rFonts w:hint="eastAsia" w:ascii="Times New Roman" w:hAnsi="Times New Roman" w:eastAsia="楷体_GB2312"/>
          <w:bCs/>
          <w:color w:val="000000"/>
          <w:kern w:val="0"/>
          <w:sz w:val="44"/>
          <w:szCs w:val="44"/>
          <w:lang w:eastAsia="zh-CN"/>
        </w:rPr>
        <w:t>三</w:t>
      </w:r>
      <w:r>
        <w:rPr>
          <w:rFonts w:ascii="Times New Roman" w:hAnsi="Times New Roman" w:eastAsia="楷体_GB2312"/>
          <w:bCs/>
          <w:color w:val="000000"/>
          <w:kern w:val="0"/>
          <w:sz w:val="44"/>
          <w:szCs w:val="44"/>
        </w:rPr>
        <w:t>年十</w:t>
      </w:r>
      <w:r>
        <w:rPr>
          <w:rFonts w:hint="eastAsia" w:ascii="Times New Roman" w:hAnsi="Times New Roman" w:eastAsia="楷体_GB2312"/>
          <w:bCs/>
          <w:color w:val="000000"/>
          <w:kern w:val="0"/>
          <w:sz w:val="44"/>
          <w:szCs w:val="44"/>
          <w:lang w:eastAsia="zh-CN"/>
        </w:rPr>
        <w:t>一</w:t>
      </w:r>
      <w:r>
        <w:rPr>
          <w:rFonts w:ascii="Times New Roman" w:hAnsi="Times New Roman" w:eastAsia="楷体_GB2312"/>
          <w:bCs/>
          <w:color w:val="000000"/>
          <w:kern w:val="0"/>
          <w:sz w:val="44"/>
          <w:szCs w:val="44"/>
        </w:rPr>
        <w:t>月</w:t>
      </w:r>
    </w:p>
    <w:p>
      <w:pPr>
        <w:autoSpaceDE w:val="0"/>
        <w:autoSpaceDN w:val="0"/>
        <w:adjustRightInd w:val="0"/>
        <w:spacing w:line="500" w:lineRule="exact"/>
        <w:ind w:firstLine="0" w:firstLineChars="0"/>
        <w:jc w:val="center"/>
        <w:rPr>
          <w:rFonts w:ascii="Times New Roman" w:hAnsi="Times New Roman" w:eastAsia="楷体_GB2312"/>
          <w:bCs/>
          <w:color w:val="000000"/>
          <w:kern w:val="0"/>
          <w:sz w:val="44"/>
          <w:szCs w:val="44"/>
        </w:rPr>
      </w:pPr>
      <w:bookmarkStart w:id="288" w:name="_GoBack"/>
      <w:bookmarkEnd w:id="288"/>
    </w:p>
    <w:p>
      <w:pPr>
        <w:autoSpaceDE w:val="0"/>
        <w:autoSpaceDN w:val="0"/>
        <w:adjustRightInd w:val="0"/>
        <w:spacing w:line="500" w:lineRule="exact"/>
        <w:ind w:firstLine="0" w:firstLineChars="0"/>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教务处制</w:t>
      </w:r>
    </w:p>
    <w:p>
      <w:pPr>
        <w:widowControl/>
        <w:spacing w:line="240" w:lineRule="auto"/>
        <w:ind w:firstLine="0" w:firstLineChars="0"/>
        <w:jc w:val="center"/>
        <w:rPr>
          <w:rFonts w:ascii="Times New Roman" w:hAnsi="Times New Roman"/>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AndChars" w:linePitch="312" w:charSpace="0"/>
        </w:sectPr>
      </w:pPr>
    </w:p>
    <w:p>
      <w:pPr>
        <w:pStyle w:val="97"/>
        <w:spacing w:after="158"/>
      </w:pPr>
      <w:bookmarkStart w:id="7" w:name="_Toc99219047"/>
      <w:bookmarkStart w:id="8" w:name="_Toc99221324"/>
      <w:bookmarkStart w:id="9" w:name="_Toc99220032"/>
      <w:bookmarkStart w:id="10" w:name="_Toc99222603"/>
      <w:bookmarkStart w:id="11" w:name="_Toc99220894"/>
      <w:r>
        <w:rPr>
          <w:rFonts w:hint="eastAsia"/>
        </w:rPr>
        <w:t xml:space="preserve">目   </w:t>
      </w:r>
      <w:r>
        <w:t xml:space="preserve"> </w:t>
      </w:r>
      <w:r>
        <w:rPr>
          <w:rFonts w:hint="eastAsia"/>
        </w:rPr>
        <w:t>录</w:t>
      </w:r>
      <w:bookmarkEnd w:id="7"/>
      <w:bookmarkEnd w:id="8"/>
      <w:bookmarkEnd w:id="9"/>
      <w:bookmarkEnd w:id="10"/>
      <w:bookmarkEnd w:id="11"/>
    </w:p>
    <w:p>
      <w:pPr>
        <w:pStyle w:val="22"/>
        <w:tabs>
          <w:tab w:val="right" w:leader="dot" w:pos="8302"/>
        </w:tabs>
        <w:rPr>
          <w:rFonts w:ascii="宋体" w:hAnsi="宋体" w:cstheme="minorBidi"/>
          <w:b w:val="0"/>
          <w:sz w:val="21"/>
          <w:szCs w:val="22"/>
        </w:rPr>
      </w:pPr>
      <w:r>
        <w:rPr>
          <w:b w:val="0"/>
          <w:sz w:val="44"/>
          <w:szCs w:val="44"/>
        </w:rPr>
        <w:fldChar w:fldCharType="begin"/>
      </w:r>
      <w:r>
        <w:rPr>
          <w:b w:val="0"/>
          <w:sz w:val="44"/>
          <w:szCs w:val="44"/>
        </w:rPr>
        <w:instrText xml:space="preserve"> </w:instrText>
      </w:r>
      <w:r>
        <w:rPr>
          <w:rFonts w:hint="eastAsia"/>
          <w:b w:val="0"/>
          <w:sz w:val="44"/>
          <w:szCs w:val="44"/>
        </w:rPr>
        <w:instrText xml:space="preserve">TOC \h \z \t "dk一级标题,2,dk二级标题,3,dk材料题目,1"</w:instrText>
      </w:r>
      <w:r>
        <w:rPr>
          <w:b w:val="0"/>
          <w:sz w:val="44"/>
          <w:szCs w:val="44"/>
        </w:rPr>
        <w:instrText xml:space="preserve"> </w:instrText>
      </w:r>
      <w:r>
        <w:rPr>
          <w:b w:val="0"/>
          <w:sz w:val="44"/>
          <w:szCs w:val="44"/>
        </w:rPr>
        <w:fldChar w:fldCharType="separate"/>
      </w:r>
      <w:r>
        <w:fldChar w:fldCharType="begin"/>
      </w:r>
      <w:r>
        <w:instrText xml:space="preserve"> HYPERLINK \l "_Toc99222604" </w:instrText>
      </w:r>
      <w:r>
        <w:fldChar w:fldCharType="separate"/>
      </w:r>
      <w:r>
        <w:rPr>
          <w:rStyle w:val="39"/>
          <w:rFonts w:ascii="宋体" w:hAnsi="宋体"/>
        </w:rPr>
        <w:t>202</w:t>
      </w:r>
      <w:r>
        <w:rPr>
          <w:rStyle w:val="39"/>
          <w:rFonts w:hint="eastAsia" w:ascii="宋体" w:hAnsi="宋体"/>
          <w:lang w:val="en-US" w:eastAsia="zh-CN"/>
        </w:rPr>
        <w:t>3</w:t>
      </w:r>
      <w:r>
        <w:rPr>
          <w:rStyle w:val="39"/>
          <w:rFonts w:hint="eastAsia" w:ascii="宋体" w:hAnsi="宋体"/>
        </w:rPr>
        <w:t>级信息安全技术应用专业</w:t>
      </w:r>
      <w:r>
        <w:rPr>
          <w:rStyle w:val="39"/>
          <w:rFonts w:ascii="宋体" w:hAnsi="宋体"/>
        </w:rPr>
        <w:t xml:space="preserve"> </w:t>
      </w:r>
      <w:r>
        <w:rPr>
          <w:rStyle w:val="39"/>
          <w:rFonts w:hint="eastAsia" w:ascii="宋体" w:hAnsi="宋体"/>
        </w:rPr>
        <w:t>人才培养方案</w:t>
      </w:r>
      <w:r>
        <w:rPr>
          <w:rFonts w:ascii="宋体" w:hAnsi="宋体"/>
        </w:rPr>
        <w:tab/>
      </w:r>
      <w:r>
        <w:rPr>
          <w:rFonts w:ascii="宋体" w:hAnsi="宋体"/>
        </w:rPr>
        <w:fldChar w:fldCharType="begin"/>
      </w:r>
      <w:r>
        <w:rPr>
          <w:rFonts w:ascii="宋体" w:hAnsi="宋体"/>
        </w:rPr>
        <w:instrText xml:space="preserve"> PAGEREF _Toc99222604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"_Toc99222605" </w:instrText>
      </w:r>
      <w:r>
        <w:fldChar w:fldCharType="separate"/>
      </w:r>
      <w:r>
        <w:rPr>
          <w:rStyle w:val="39"/>
          <w:rFonts w:hint="eastAsia"/>
        </w:rPr>
        <w:t>一、专业名称及代码</w:t>
      </w:r>
      <w:r>
        <w:tab/>
      </w:r>
      <w:r>
        <w:fldChar w:fldCharType="begin"/>
      </w:r>
      <w:r>
        <w:instrText xml:space="preserve"> PAGEREF _Toc99222605 \h </w:instrText>
      </w:r>
      <w:r>
        <w:fldChar w:fldCharType="separate"/>
      </w:r>
      <w:r>
        <w:t>1</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"_Toc99222606" </w:instrText>
      </w:r>
      <w:r>
        <w:fldChar w:fldCharType="separate"/>
      </w:r>
      <w:r>
        <w:rPr>
          <w:rStyle w:val="39"/>
          <w:rFonts w:hint="eastAsia"/>
        </w:rPr>
        <w:t>二、入学要求</w:t>
      </w:r>
      <w:r>
        <w:tab/>
      </w:r>
      <w:r>
        <w:fldChar w:fldCharType="begin"/>
      </w:r>
      <w:r>
        <w:instrText xml:space="preserve"> PAGEREF _Toc99222606 \h </w:instrText>
      </w:r>
      <w:r>
        <w:fldChar w:fldCharType="separate"/>
      </w:r>
      <w:r>
        <w:t>1</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"_Toc99222607" </w:instrText>
      </w:r>
      <w:r>
        <w:fldChar w:fldCharType="separate"/>
      </w:r>
      <w:r>
        <w:rPr>
          <w:rStyle w:val="39"/>
          <w:rFonts w:hint="eastAsia"/>
        </w:rPr>
        <w:t>三、修业年限</w:t>
      </w:r>
      <w:r>
        <w:tab/>
      </w:r>
      <w:r>
        <w:fldChar w:fldCharType="begin"/>
      </w:r>
      <w:r>
        <w:instrText xml:space="preserve"> PAGEREF _Toc99222607 \h </w:instrText>
      </w:r>
      <w:r>
        <w:fldChar w:fldCharType="separate"/>
      </w:r>
      <w:r>
        <w:t>1</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"_Toc99222608" </w:instrText>
      </w:r>
      <w:r>
        <w:fldChar w:fldCharType="separate"/>
      </w:r>
      <w:r>
        <w:rPr>
          <w:rStyle w:val="39"/>
          <w:rFonts w:hint="eastAsia"/>
        </w:rPr>
        <w:t>四、职业面向</w:t>
      </w:r>
      <w:r>
        <w:tab/>
      </w:r>
      <w:r>
        <w:fldChar w:fldCharType="begin"/>
      </w:r>
      <w:r>
        <w:instrText xml:space="preserve"> PAGEREF _Toc99222608 \h </w:instrText>
      </w:r>
      <w:r>
        <w:fldChar w:fldCharType="separate"/>
      </w:r>
      <w:r>
        <w:t>1</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"_Toc99222609" </w:instrText>
      </w:r>
      <w:r>
        <w:fldChar w:fldCharType="separate"/>
      </w:r>
      <w:r>
        <w:rPr>
          <w:rStyle w:val="39"/>
          <w:rFonts w:hint="eastAsia"/>
        </w:rPr>
        <w:t>五、培养目标及培养规格</w:t>
      </w:r>
      <w:r>
        <w:tab/>
      </w:r>
      <w:r>
        <w:fldChar w:fldCharType="begin"/>
      </w:r>
      <w:r>
        <w:instrText xml:space="preserve"> PAGEREF _Toc99222609 \h </w:instrText>
      </w:r>
      <w:r>
        <w:fldChar w:fldCharType="separate"/>
      </w:r>
      <w:r>
        <w:t>1</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"_Toc99222610" </w:instrText>
      </w:r>
      <w:r>
        <w:fldChar w:fldCharType="separate"/>
      </w:r>
      <w:r>
        <w:rPr>
          <w:rStyle w:val="39"/>
          <w:rFonts w:hint="eastAsia"/>
        </w:rPr>
        <w:t>（一）培养目标</w:t>
      </w:r>
      <w:r>
        <w:tab/>
      </w:r>
      <w:r>
        <w:fldChar w:fldCharType="begin"/>
      </w:r>
      <w:r>
        <w:instrText xml:space="preserve"> PAGEREF _Toc99222610 \h </w:instrText>
      </w:r>
      <w:r>
        <w:fldChar w:fldCharType="separate"/>
      </w:r>
      <w:r>
        <w:t>1</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"_Toc99222611" </w:instrText>
      </w:r>
      <w:r>
        <w:fldChar w:fldCharType="separate"/>
      </w:r>
      <w:r>
        <w:rPr>
          <w:rStyle w:val="39"/>
          <w:rFonts w:hint="eastAsia"/>
        </w:rPr>
        <w:t>（二）培养规格</w:t>
      </w:r>
      <w:r>
        <w:tab/>
      </w:r>
      <w:r>
        <w:fldChar w:fldCharType="begin"/>
      </w:r>
      <w:r>
        <w:instrText xml:space="preserve"> PAGEREF _Toc99222611 \h </w:instrText>
      </w:r>
      <w:r>
        <w:fldChar w:fldCharType="separate"/>
      </w:r>
      <w:r>
        <w:t>2</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"_Toc99222612" </w:instrText>
      </w:r>
      <w:r>
        <w:fldChar w:fldCharType="separate"/>
      </w:r>
      <w:r>
        <w:rPr>
          <w:rStyle w:val="39"/>
          <w:rFonts w:hint="eastAsia"/>
        </w:rPr>
        <w:t>六、培养模式</w:t>
      </w:r>
      <w:r>
        <w:tab/>
      </w:r>
      <w:r>
        <w:fldChar w:fldCharType="begin"/>
      </w:r>
      <w:r>
        <w:instrText xml:space="preserve"> PAGEREF _Toc99222612 \h </w:instrText>
      </w:r>
      <w:r>
        <w:fldChar w:fldCharType="separate"/>
      </w:r>
      <w:r>
        <w:t>4</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"_Toc99222613" </w:instrText>
      </w:r>
      <w:r>
        <w:fldChar w:fldCharType="separate"/>
      </w:r>
      <w:r>
        <w:rPr>
          <w:rStyle w:val="39"/>
          <w:rFonts w:hint="eastAsia"/>
        </w:rPr>
        <w:t>（一）“课岗融通，赛证促进，综合发展”人才培养模式的内涵</w:t>
      </w:r>
      <w:r>
        <w:tab/>
      </w:r>
      <w:r>
        <w:fldChar w:fldCharType="begin"/>
      </w:r>
      <w:r>
        <w:instrText xml:space="preserve"> PAGEREF _Toc99222613 \h </w:instrText>
      </w:r>
      <w:r>
        <w:fldChar w:fldCharType="separate"/>
      </w:r>
      <w:r>
        <w:t>4</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"_Toc99222614" </w:instrText>
      </w:r>
      <w:r>
        <w:fldChar w:fldCharType="separate"/>
      </w:r>
      <w:r>
        <w:rPr>
          <w:rStyle w:val="39"/>
          <w:rFonts w:hint="eastAsia"/>
        </w:rPr>
        <w:t>（二）“课岗融通，赛证促进，综合发展”人才培养模式的实施</w:t>
      </w:r>
      <w:r>
        <w:tab/>
      </w:r>
      <w:r>
        <w:fldChar w:fldCharType="begin"/>
      </w:r>
      <w:r>
        <w:instrText xml:space="preserve"> PAGEREF _Toc99222614 \h </w:instrText>
      </w:r>
      <w:r>
        <w:fldChar w:fldCharType="separate"/>
      </w:r>
      <w:r>
        <w:t>5</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"_Toc99222615" </w:instrText>
      </w:r>
      <w:r>
        <w:fldChar w:fldCharType="separate"/>
      </w:r>
      <w:r>
        <w:rPr>
          <w:rStyle w:val="39"/>
          <w:rFonts w:hint="eastAsia"/>
        </w:rPr>
        <w:t>七、课程体系</w:t>
      </w:r>
      <w:r>
        <w:tab/>
      </w:r>
      <w:r>
        <w:fldChar w:fldCharType="begin"/>
      </w:r>
      <w:r>
        <w:instrText xml:space="preserve"> PAGEREF _Toc99222615 \h </w:instrText>
      </w:r>
      <w:r>
        <w:fldChar w:fldCharType="separate"/>
      </w:r>
      <w:r>
        <w:t>7</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"_Toc99222616" </w:instrText>
      </w:r>
      <w:r>
        <w:fldChar w:fldCharType="separate"/>
      </w:r>
      <w:r>
        <w:rPr>
          <w:rStyle w:val="39"/>
          <w:rFonts w:hint="eastAsia"/>
        </w:rPr>
        <w:t>（一）课程体系构建</w:t>
      </w:r>
      <w:r>
        <w:tab/>
      </w:r>
      <w:r>
        <w:fldChar w:fldCharType="begin"/>
      </w:r>
      <w:r>
        <w:instrText xml:space="preserve"> PAGEREF _Toc99222616 \h </w:instrText>
      </w:r>
      <w:r>
        <w:fldChar w:fldCharType="separate"/>
      </w:r>
      <w:r>
        <w:t>7</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"_Toc99222617" </w:instrText>
      </w:r>
      <w:r>
        <w:fldChar w:fldCharType="separate"/>
      </w:r>
      <w:r>
        <w:rPr>
          <w:rStyle w:val="39"/>
          <w:rFonts w:hint="eastAsia"/>
        </w:rPr>
        <w:t>（二）课程设置及描述</w:t>
      </w:r>
      <w:r>
        <w:tab/>
      </w:r>
      <w:r>
        <w:fldChar w:fldCharType="begin"/>
      </w:r>
      <w:r>
        <w:instrText xml:space="preserve"> PAGEREF _Toc99222617 \h </w:instrText>
      </w:r>
      <w:r>
        <w:fldChar w:fldCharType="separate"/>
      </w:r>
      <w:r>
        <w:t>7</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"_Toc99222618" </w:instrText>
      </w:r>
      <w:r>
        <w:fldChar w:fldCharType="separate"/>
      </w:r>
      <w:r>
        <w:rPr>
          <w:rStyle w:val="39"/>
          <w:rFonts w:hint="eastAsia"/>
        </w:rPr>
        <w:t>八、实践教学体系</w:t>
      </w:r>
      <w:r>
        <w:tab/>
      </w:r>
      <w:r>
        <w:fldChar w:fldCharType="begin"/>
      </w:r>
      <w:r>
        <w:instrText xml:space="preserve"> PAGEREF _Toc99222618 \h </w:instrText>
      </w:r>
      <w:r>
        <w:fldChar w:fldCharType="separate"/>
      </w:r>
      <w:r>
        <w:t>15</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"_Toc99222619" </w:instrText>
      </w:r>
      <w:r>
        <w:fldChar w:fldCharType="separate"/>
      </w:r>
      <w:r>
        <w:rPr>
          <w:rStyle w:val="39"/>
          <w:rFonts w:hint="eastAsia"/>
        </w:rPr>
        <w:t>（一）内容架构</w:t>
      </w:r>
      <w:r>
        <w:tab/>
      </w:r>
      <w:r>
        <w:fldChar w:fldCharType="begin"/>
      </w:r>
      <w:r>
        <w:instrText xml:space="preserve"> PAGEREF _Toc99222619 \h </w:instrText>
      </w:r>
      <w:r>
        <w:fldChar w:fldCharType="separate"/>
      </w:r>
      <w:r>
        <w:t>15</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"_Toc99222620" </w:instrText>
      </w:r>
      <w:r>
        <w:fldChar w:fldCharType="separate"/>
      </w:r>
      <w:r>
        <w:rPr>
          <w:rStyle w:val="39"/>
          <w:rFonts w:hint="eastAsia"/>
        </w:rPr>
        <w:t>（二）组织与实施</w:t>
      </w:r>
      <w:r>
        <w:tab/>
      </w:r>
      <w:r>
        <w:fldChar w:fldCharType="begin"/>
      </w:r>
      <w:r>
        <w:instrText xml:space="preserve"> PAGEREF _Toc99222620 \h </w:instrText>
      </w:r>
      <w:r>
        <w:fldChar w:fldCharType="separate"/>
      </w:r>
      <w:r>
        <w:t>16</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"_Toc99222621" </w:instrText>
      </w:r>
      <w:r>
        <w:fldChar w:fldCharType="separate"/>
      </w:r>
      <w:r>
        <w:rPr>
          <w:rStyle w:val="39"/>
          <w:rFonts w:hint="eastAsia"/>
        </w:rPr>
        <w:t>九、课程思政教学体系</w:t>
      </w:r>
      <w:r>
        <w:tab/>
      </w:r>
      <w:r>
        <w:fldChar w:fldCharType="begin"/>
      </w:r>
      <w:r>
        <w:instrText xml:space="preserve"> PAGEREF _Toc99222621 \h </w:instrText>
      </w:r>
      <w:r>
        <w:fldChar w:fldCharType="separate"/>
      </w:r>
      <w:r>
        <w:t>16</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"_Toc99222622" </w:instrText>
      </w:r>
      <w:r>
        <w:fldChar w:fldCharType="separate"/>
      </w:r>
      <w:r>
        <w:rPr>
          <w:rStyle w:val="39"/>
          <w:rFonts w:hint="eastAsia"/>
        </w:rPr>
        <w:t>（一）课程思政目标要求</w:t>
      </w:r>
      <w:r>
        <w:tab/>
      </w:r>
      <w:r>
        <w:fldChar w:fldCharType="begin"/>
      </w:r>
      <w:r>
        <w:instrText xml:space="preserve"> PAGEREF _Toc99222622 \h </w:instrText>
      </w:r>
      <w:r>
        <w:fldChar w:fldCharType="separate"/>
      </w:r>
      <w:r>
        <w:t>16</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"_Toc99222623" </w:instrText>
      </w:r>
      <w:r>
        <w:fldChar w:fldCharType="separate"/>
      </w:r>
      <w:r>
        <w:rPr>
          <w:rStyle w:val="39"/>
          <w:rFonts w:hint="eastAsia"/>
        </w:rPr>
        <w:t>（二）课程思政体系建设</w:t>
      </w:r>
      <w:r>
        <w:tab/>
      </w:r>
      <w:r>
        <w:fldChar w:fldCharType="begin"/>
      </w:r>
      <w:r>
        <w:instrText xml:space="preserve"> PAGEREF _Toc99222623 \h </w:instrText>
      </w:r>
      <w:r>
        <w:fldChar w:fldCharType="separate"/>
      </w:r>
      <w:r>
        <w:t>18</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"_Toc99222624" </w:instrText>
      </w:r>
      <w:r>
        <w:fldChar w:fldCharType="separate"/>
      </w:r>
      <w:r>
        <w:rPr>
          <w:rStyle w:val="39"/>
          <w:rFonts w:hint="eastAsia"/>
        </w:rPr>
        <w:t>（三）课程思政建设及实施</w:t>
      </w:r>
      <w:r>
        <w:tab/>
      </w:r>
      <w:r>
        <w:fldChar w:fldCharType="begin"/>
      </w:r>
      <w:r>
        <w:instrText xml:space="preserve"> PAGEREF _Toc99222624 \h </w:instrText>
      </w:r>
      <w:r>
        <w:fldChar w:fldCharType="separate"/>
      </w:r>
      <w:r>
        <w:t>19</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"_Toc99222625" </w:instrText>
      </w:r>
      <w:r>
        <w:fldChar w:fldCharType="separate"/>
      </w:r>
      <w:r>
        <w:rPr>
          <w:rStyle w:val="39"/>
          <w:rFonts w:hint="eastAsia"/>
        </w:rPr>
        <w:t>十、学时与学分</w:t>
      </w:r>
      <w:r>
        <w:tab/>
      </w:r>
      <w:r>
        <w:fldChar w:fldCharType="begin"/>
      </w:r>
      <w:r>
        <w:instrText xml:space="preserve"> PAGEREF _Toc99222625 \h </w:instrText>
      </w:r>
      <w:r>
        <w:fldChar w:fldCharType="separate"/>
      </w:r>
      <w:r>
        <w:t>20</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"_Toc99222626" </w:instrText>
      </w:r>
      <w:r>
        <w:fldChar w:fldCharType="separate"/>
      </w:r>
      <w:r>
        <w:rPr>
          <w:rStyle w:val="39"/>
          <w:rFonts w:hint="eastAsia"/>
        </w:rPr>
        <w:t>（一）学时、学分安排</w:t>
      </w:r>
      <w:r>
        <w:tab/>
      </w:r>
      <w:r>
        <w:fldChar w:fldCharType="begin"/>
      </w:r>
      <w:r>
        <w:instrText xml:space="preserve"> PAGEREF _Toc99222626 \h </w:instrText>
      </w:r>
      <w:r>
        <w:fldChar w:fldCharType="separate"/>
      </w:r>
      <w:r>
        <w:t>20</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"_Toc99222627" </w:instrText>
      </w:r>
      <w:r>
        <w:fldChar w:fldCharType="separate"/>
      </w:r>
      <w:r>
        <w:rPr>
          <w:rStyle w:val="39"/>
          <w:rFonts w:hint="eastAsia"/>
        </w:rPr>
        <w:t>（二）学分安排</w:t>
      </w:r>
      <w:r>
        <w:tab/>
      </w:r>
      <w:r>
        <w:fldChar w:fldCharType="begin"/>
      </w:r>
      <w:r>
        <w:instrText xml:space="preserve"> PAGEREF _Toc99222627 \h </w:instrText>
      </w:r>
      <w:r>
        <w:fldChar w:fldCharType="separate"/>
      </w:r>
      <w:r>
        <w:t>20</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"_Toc99222628" </w:instrText>
      </w:r>
      <w:r>
        <w:fldChar w:fldCharType="separate"/>
      </w:r>
      <w:r>
        <w:rPr>
          <w:rStyle w:val="39"/>
          <w:rFonts w:hint="eastAsia"/>
        </w:rPr>
        <w:t>（三）学时、学分分配汇总</w:t>
      </w:r>
      <w:r>
        <w:tab/>
      </w:r>
      <w:r>
        <w:fldChar w:fldCharType="begin"/>
      </w:r>
      <w:r>
        <w:instrText xml:space="preserve"> PAGEREF _Toc99222628 \h </w:instrText>
      </w:r>
      <w:r>
        <w:fldChar w:fldCharType="separate"/>
      </w:r>
      <w:r>
        <w:t>20</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"_Toc99222629" </w:instrText>
      </w:r>
      <w:r>
        <w:fldChar w:fldCharType="separate"/>
      </w:r>
      <w:r>
        <w:rPr>
          <w:rStyle w:val="39"/>
          <w:rFonts w:hint="eastAsia"/>
        </w:rPr>
        <w:t>十一、教学进程总体安排</w:t>
      </w:r>
      <w:r>
        <w:tab/>
      </w:r>
      <w:r>
        <w:fldChar w:fldCharType="begin"/>
      </w:r>
      <w:r>
        <w:instrText xml:space="preserve"> PAGEREF _Toc99222629 \h </w:instrText>
      </w:r>
      <w:r>
        <w:fldChar w:fldCharType="separate"/>
      </w:r>
      <w:r>
        <w:t>21</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"_Toc99222630" </w:instrText>
      </w:r>
      <w:r>
        <w:fldChar w:fldCharType="separate"/>
      </w:r>
      <w:r>
        <w:rPr>
          <w:rStyle w:val="39"/>
          <w:rFonts w:hint="eastAsia"/>
        </w:rPr>
        <w:t>（一）课程设置总表</w:t>
      </w:r>
      <w:r>
        <w:tab/>
      </w:r>
      <w:r>
        <w:fldChar w:fldCharType="begin"/>
      </w:r>
      <w:r>
        <w:instrText xml:space="preserve"> PAGEREF _Toc99222630 \h </w:instrText>
      </w:r>
      <w:r>
        <w:fldChar w:fldCharType="separate"/>
      </w:r>
      <w:r>
        <w:t>21</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"_Toc99222631" </w:instrText>
      </w:r>
      <w:r>
        <w:fldChar w:fldCharType="separate"/>
      </w:r>
      <w:r>
        <w:rPr>
          <w:rStyle w:val="39"/>
          <w:rFonts w:hint="eastAsia"/>
        </w:rPr>
        <w:t>（二）素养提升课程设置</w:t>
      </w:r>
      <w:r>
        <w:tab/>
      </w:r>
      <w:r>
        <w:fldChar w:fldCharType="begin"/>
      </w:r>
      <w:r>
        <w:instrText xml:space="preserve"> PAGEREF _Toc99222631 \h </w:instrText>
      </w:r>
      <w:r>
        <w:fldChar w:fldCharType="separate"/>
      </w:r>
      <w:r>
        <w:t>26</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"_Toc99222632" </w:instrText>
      </w:r>
      <w:r>
        <w:fldChar w:fldCharType="separate"/>
      </w:r>
      <w:r>
        <w:rPr>
          <w:rStyle w:val="39"/>
          <w:rFonts w:hint="eastAsia"/>
        </w:rPr>
        <w:t>十二、实施保障</w:t>
      </w:r>
      <w:r>
        <w:tab/>
      </w:r>
      <w:r>
        <w:fldChar w:fldCharType="begin"/>
      </w:r>
      <w:r>
        <w:instrText xml:space="preserve"> PAGEREF _Toc99222632 \h </w:instrText>
      </w:r>
      <w:r>
        <w:fldChar w:fldCharType="separate"/>
      </w:r>
      <w:r>
        <w:t>27</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"_Toc99222633" </w:instrText>
      </w:r>
      <w:r>
        <w:fldChar w:fldCharType="separate"/>
      </w:r>
      <w:r>
        <w:rPr>
          <w:rStyle w:val="39"/>
          <w:rFonts w:hint="eastAsia"/>
        </w:rPr>
        <w:t>（一）师资队伍</w:t>
      </w:r>
      <w:r>
        <w:tab/>
      </w:r>
      <w:r>
        <w:fldChar w:fldCharType="begin"/>
      </w:r>
      <w:r>
        <w:instrText xml:space="preserve"> PAGEREF _Toc99222633 \h </w:instrText>
      </w:r>
      <w:r>
        <w:fldChar w:fldCharType="separate"/>
      </w:r>
      <w:r>
        <w:t>27</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"_Toc99222634" </w:instrText>
      </w:r>
      <w:r>
        <w:fldChar w:fldCharType="separate"/>
      </w:r>
      <w:r>
        <w:rPr>
          <w:rStyle w:val="39"/>
          <w:rFonts w:hint="eastAsia"/>
        </w:rPr>
        <w:t>（二）教学设施</w:t>
      </w:r>
      <w:r>
        <w:tab/>
      </w:r>
      <w:r>
        <w:fldChar w:fldCharType="begin"/>
      </w:r>
      <w:r>
        <w:instrText xml:space="preserve"> PAGEREF _Toc99222634 \h </w:instrText>
      </w:r>
      <w:r>
        <w:fldChar w:fldCharType="separate"/>
      </w:r>
      <w:r>
        <w:t>28</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"_Toc99222635" </w:instrText>
      </w:r>
      <w:r>
        <w:fldChar w:fldCharType="separate"/>
      </w:r>
      <w:r>
        <w:rPr>
          <w:rStyle w:val="39"/>
          <w:rFonts w:hint="eastAsia"/>
        </w:rPr>
        <w:t>（三）教学资源</w:t>
      </w:r>
      <w:r>
        <w:tab/>
      </w:r>
      <w:r>
        <w:fldChar w:fldCharType="begin"/>
      </w:r>
      <w:r>
        <w:instrText xml:space="preserve"> PAGEREF _Toc99222635 \h </w:instrText>
      </w:r>
      <w:r>
        <w:fldChar w:fldCharType="separate"/>
      </w:r>
      <w:r>
        <w:t>29</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"_Toc99222636" </w:instrText>
      </w:r>
      <w:r>
        <w:fldChar w:fldCharType="separate"/>
      </w:r>
      <w:r>
        <w:rPr>
          <w:rStyle w:val="39"/>
          <w:rFonts w:hint="eastAsia"/>
        </w:rPr>
        <w:t>（四）教学方法</w:t>
      </w:r>
      <w:r>
        <w:tab/>
      </w:r>
      <w:r>
        <w:fldChar w:fldCharType="begin"/>
      </w:r>
      <w:r>
        <w:instrText xml:space="preserve"> PAGEREF _Toc99222636 \h </w:instrText>
      </w:r>
      <w:r>
        <w:fldChar w:fldCharType="separate"/>
      </w:r>
      <w:r>
        <w:t>29</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"_Toc99222637" </w:instrText>
      </w:r>
      <w:r>
        <w:fldChar w:fldCharType="separate"/>
      </w:r>
      <w:r>
        <w:rPr>
          <w:rStyle w:val="39"/>
          <w:rFonts w:hint="eastAsia"/>
        </w:rPr>
        <w:t>（五）考核评价</w:t>
      </w:r>
      <w:r>
        <w:tab/>
      </w:r>
      <w:r>
        <w:fldChar w:fldCharType="begin"/>
      </w:r>
      <w:r>
        <w:instrText xml:space="preserve"> PAGEREF _Toc99222637 \h </w:instrText>
      </w:r>
      <w:r>
        <w:fldChar w:fldCharType="separate"/>
      </w:r>
      <w:r>
        <w:t>30</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"_Toc99222638" </w:instrText>
      </w:r>
      <w:r>
        <w:fldChar w:fldCharType="separate"/>
      </w:r>
      <w:r>
        <w:rPr>
          <w:rStyle w:val="39"/>
          <w:rFonts w:hint="eastAsia"/>
        </w:rPr>
        <w:t>（六）质量管理</w:t>
      </w:r>
      <w:r>
        <w:tab/>
      </w:r>
      <w:r>
        <w:fldChar w:fldCharType="begin"/>
      </w:r>
      <w:r>
        <w:instrText xml:space="preserve"> PAGEREF _Toc99222638 \h </w:instrText>
      </w:r>
      <w:r>
        <w:fldChar w:fldCharType="separate"/>
      </w:r>
      <w:r>
        <w:t>31</w:t>
      </w:r>
      <w:r>
        <w:fldChar w:fldCharType="end"/>
      </w:r>
      <w:r>
        <w:fldChar w:fldCharType="end"/>
      </w:r>
    </w:p>
    <w:p>
      <w:pPr>
        <w:pStyle w:val="26"/>
        <w:tabs>
          <w:tab w:val="right" w:leader="dot" w:pos="8302"/>
        </w:tabs>
        <w:rPr>
          <w:rFonts w:asciiTheme="minorHAnsi" w:hAnsiTheme="minorHAnsi" w:eastAsiaTheme="minorEastAsia" w:cstheme="minorBidi"/>
          <w:sz w:val="21"/>
          <w:szCs w:val="22"/>
        </w:rPr>
      </w:pPr>
      <w:r>
        <w:fldChar w:fldCharType="begin"/>
      </w:r>
      <w:r>
        <w:instrText xml:space="preserve"> HYPERLINK \l "_Toc99222639" </w:instrText>
      </w:r>
      <w:r>
        <w:fldChar w:fldCharType="separate"/>
      </w:r>
      <w:r>
        <w:rPr>
          <w:rStyle w:val="39"/>
          <w:rFonts w:hint="eastAsia"/>
        </w:rPr>
        <w:t>十三、毕业要求</w:t>
      </w:r>
      <w:r>
        <w:tab/>
      </w:r>
      <w:r>
        <w:fldChar w:fldCharType="begin"/>
      </w:r>
      <w:r>
        <w:instrText xml:space="preserve"> PAGEREF _Toc99222639 \h </w:instrText>
      </w:r>
      <w:r>
        <w:fldChar w:fldCharType="separate"/>
      </w:r>
      <w:r>
        <w:t>32</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"_Toc99222640" </w:instrText>
      </w:r>
      <w:r>
        <w:fldChar w:fldCharType="separate"/>
      </w:r>
      <w:r>
        <w:rPr>
          <w:rStyle w:val="39"/>
          <w:rFonts w:hint="eastAsia"/>
        </w:rPr>
        <w:t>（一）学分要求</w:t>
      </w:r>
      <w:r>
        <w:tab/>
      </w:r>
      <w:r>
        <w:fldChar w:fldCharType="begin"/>
      </w:r>
      <w:r>
        <w:instrText xml:space="preserve"> PAGEREF _Toc99222640 \h </w:instrText>
      </w:r>
      <w:r>
        <w:fldChar w:fldCharType="separate"/>
      </w:r>
      <w:r>
        <w:t>32</w:t>
      </w:r>
      <w:r>
        <w:fldChar w:fldCharType="end"/>
      </w:r>
      <w:r>
        <w:fldChar w:fldCharType="end"/>
      </w:r>
    </w:p>
    <w:p>
      <w:pPr>
        <w:pStyle w:val="14"/>
        <w:tabs>
          <w:tab w:val="right" w:leader="dot" w:pos="8302"/>
        </w:tabs>
        <w:ind w:firstLine="436"/>
        <w:rPr>
          <w:rFonts w:asciiTheme="minorHAnsi" w:hAnsiTheme="minorHAnsi" w:eastAsiaTheme="minorEastAsia" w:cstheme="minorBidi"/>
          <w:kern w:val="2"/>
          <w:sz w:val="21"/>
        </w:rPr>
      </w:pPr>
      <w:r>
        <w:fldChar w:fldCharType="begin"/>
      </w:r>
      <w:r>
        <w:instrText xml:space="preserve"> HYPERLINK \l "_Toc99222641" </w:instrText>
      </w:r>
      <w:r>
        <w:fldChar w:fldCharType="separate"/>
      </w:r>
      <w:r>
        <w:rPr>
          <w:rStyle w:val="39"/>
          <w:rFonts w:hint="eastAsia"/>
        </w:rPr>
        <w:t>（二）证书要求</w:t>
      </w:r>
      <w:r>
        <w:tab/>
      </w:r>
      <w:r>
        <w:fldChar w:fldCharType="begin"/>
      </w:r>
      <w:r>
        <w:instrText xml:space="preserve"> PAGEREF _Toc99222641 \h </w:instrText>
      </w:r>
      <w:r>
        <w:fldChar w:fldCharType="separate"/>
      </w:r>
      <w:r>
        <w:t>32</w:t>
      </w:r>
      <w:r>
        <w:fldChar w:fldCharType="end"/>
      </w:r>
      <w:r>
        <w:fldChar w:fldCharType="end"/>
      </w:r>
    </w:p>
    <w:p>
      <w:pPr>
        <w:pStyle w:val="22"/>
        <w:tabs>
          <w:tab w:val="right" w:leader="dot" w:pos="8302"/>
        </w:tabs>
        <w:rPr>
          <w:rFonts w:ascii="宋体" w:hAnsi="宋体" w:cstheme="minorBidi"/>
          <w:b w:val="0"/>
          <w:sz w:val="21"/>
          <w:szCs w:val="22"/>
        </w:rPr>
      </w:pPr>
    </w:p>
    <w:p>
      <w:pPr>
        <w:pStyle w:val="2"/>
        <w:ind w:firstLine="0" w:firstLineChars="0"/>
        <w:rPr>
          <w:b/>
          <w:sz w:val="44"/>
          <w:szCs w:val="44"/>
        </w:rPr>
      </w:pPr>
      <w:r>
        <w:rPr>
          <w:b/>
          <w:sz w:val="44"/>
          <w:szCs w:val="44"/>
        </w:rPr>
        <w:fldChar w:fldCharType="end"/>
      </w:r>
    </w:p>
    <w:p>
      <w:pPr>
        <w:pStyle w:val="2"/>
        <w:ind w:firstLine="876"/>
        <w:rPr>
          <w:b/>
          <w:sz w:val="44"/>
          <w:szCs w:val="44"/>
        </w:rPr>
      </w:pPr>
    </w:p>
    <w:p>
      <w:pPr>
        <w:pStyle w:val="2"/>
        <w:ind w:firstLine="876"/>
        <w:rPr>
          <w:b/>
          <w:sz w:val="44"/>
          <w:szCs w:val="44"/>
        </w:rPr>
      </w:pPr>
    </w:p>
    <w:p>
      <w:pPr>
        <w:pStyle w:val="2"/>
        <w:ind w:firstLine="876"/>
        <w:rPr>
          <w:b/>
          <w:sz w:val="44"/>
          <w:szCs w:val="4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794" w:gutter="0"/>
          <w:pgNumType w:fmt="upperRoman" w:start="1"/>
          <w:cols w:space="425" w:num="1"/>
          <w:docGrid w:type="linesAndChars" w:linePitch="317" w:charSpace="-451"/>
        </w:sectPr>
      </w:pPr>
    </w:p>
    <w:p>
      <w:pPr>
        <w:pStyle w:val="97"/>
        <w:spacing w:after="158"/>
        <w:rPr>
          <w:rFonts w:hint="eastAsia" w:eastAsia="方正小标宋简体"/>
          <w:lang w:eastAsia="zh-CN"/>
        </w:rPr>
      </w:pPr>
      <w:bookmarkStart w:id="12" w:name="_Toc99219048"/>
      <w:bookmarkStart w:id="13" w:name="_Toc99220033"/>
      <w:bookmarkStart w:id="14" w:name="_Toc99222604"/>
      <w:bookmarkStart w:id="15" w:name="_Toc99220895"/>
      <w:r>
        <w:rPr>
          <w:rFonts w:hint="eastAsia"/>
        </w:rPr>
        <w:t>202</w:t>
      </w:r>
      <w:r>
        <w:rPr>
          <w:rFonts w:hint="eastAsia"/>
          <w:lang w:val="en-US" w:eastAsia="zh-CN"/>
        </w:rPr>
        <w:t>3</w:t>
      </w:r>
      <w:r>
        <w:rPr>
          <w:rFonts w:hint="eastAsia"/>
        </w:rPr>
        <w:t>级信息安全技术</w:t>
      </w:r>
      <w:r>
        <w:t>应用</w:t>
      </w:r>
      <w:r>
        <w:rPr>
          <w:rFonts w:hint="eastAsia"/>
        </w:rPr>
        <w:t>专业</w:t>
      </w:r>
      <w:bookmarkEnd w:id="12"/>
      <w:bookmarkEnd w:id="13"/>
      <w:bookmarkStart w:id="16" w:name="_Toc99219049"/>
      <w:bookmarkStart w:id="17" w:name="_Toc99220034"/>
    </w:p>
    <w:p>
      <w:pPr>
        <w:pStyle w:val="97"/>
        <w:spacing w:after="158"/>
        <w:rPr>
          <w:bCs/>
        </w:rPr>
      </w:pPr>
      <w:r>
        <w:rPr>
          <w:rFonts w:hint="eastAsia"/>
        </w:rPr>
        <w:t>人才培养方案</w:t>
      </w:r>
      <w:bookmarkEnd w:id="14"/>
      <w:bookmarkEnd w:id="15"/>
      <w:bookmarkEnd w:id="16"/>
      <w:bookmarkEnd w:id="17"/>
    </w:p>
    <w:bookmarkEnd w:id="0"/>
    <w:bookmarkEnd w:id="1"/>
    <w:bookmarkEnd w:id="2"/>
    <w:bookmarkEnd w:id="3"/>
    <w:bookmarkEnd w:id="4"/>
    <w:bookmarkEnd w:id="5"/>
    <w:p>
      <w:pPr>
        <w:pStyle w:val="90"/>
      </w:pPr>
      <w:bookmarkStart w:id="18" w:name="_Toc93520552"/>
      <w:bookmarkStart w:id="19" w:name="_Toc99222605"/>
      <w:bookmarkStart w:id="20" w:name="_Toc99220896"/>
      <w:bookmarkStart w:id="21" w:name="_Toc99219050"/>
      <w:bookmarkStart w:id="22" w:name="_Toc99220035"/>
      <w:r>
        <w:rPr>
          <w:rFonts w:hint="eastAsia"/>
        </w:rPr>
        <w:t>一</w:t>
      </w:r>
      <w:r>
        <w:t>、</w:t>
      </w:r>
      <w:r>
        <w:rPr>
          <w:rFonts w:hint="eastAsia"/>
        </w:rPr>
        <w:t>专业名称及代码</w:t>
      </w:r>
      <w:bookmarkEnd w:id="18"/>
      <w:bookmarkEnd w:id="19"/>
      <w:bookmarkEnd w:id="20"/>
      <w:bookmarkEnd w:id="21"/>
      <w:bookmarkEnd w:id="22"/>
    </w:p>
    <w:p>
      <w:pPr>
        <w:pStyle w:val="101"/>
        <w:ind w:firstLine="562"/>
      </w:pPr>
      <w:r>
        <w:rPr>
          <w:rFonts w:hint="eastAsia"/>
          <w:b/>
        </w:rPr>
        <w:t>专业名称</w:t>
      </w:r>
      <w:r>
        <w:rPr>
          <w:rFonts w:hint="eastAsia"/>
        </w:rPr>
        <w:t>：信息安全技术应用专业</w:t>
      </w:r>
    </w:p>
    <w:p>
      <w:pPr>
        <w:pStyle w:val="101"/>
        <w:ind w:firstLine="562"/>
      </w:pPr>
      <w:r>
        <w:rPr>
          <w:rFonts w:hint="eastAsia"/>
          <w:b/>
        </w:rPr>
        <w:t>专业代码</w:t>
      </w:r>
      <w:r>
        <w:rPr>
          <w:rFonts w:hint="eastAsia"/>
        </w:rPr>
        <w:t>：510207</w:t>
      </w:r>
      <w:r>
        <w:tab/>
      </w:r>
    </w:p>
    <w:bookmarkEnd w:id="6"/>
    <w:p>
      <w:pPr>
        <w:pStyle w:val="90"/>
      </w:pPr>
      <w:bookmarkStart w:id="23" w:name="_Toc99219051"/>
      <w:bookmarkStart w:id="24" w:name="_Toc93520553"/>
      <w:bookmarkStart w:id="25" w:name="_Toc99220036"/>
      <w:bookmarkStart w:id="26" w:name="_Toc99220897"/>
      <w:bookmarkStart w:id="27" w:name="_Toc46303704"/>
      <w:bookmarkStart w:id="28" w:name="_Toc99222606"/>
      <w:bookmarkStart w:id="29" w:name="_Hlk11185753"/>
      <w:bookmarkStart w:id="30" w:name="_Toc303837891"/>
      <w:bookmarkStart w:id="31" w:name="_Toc305418727"/>
      <w:r>
        <w:rPr>
          <w:rFonts w:hint="eastAsia"/>
        </w:rPr>
        <w:t>二、入学要求</w:t>
      </w:r>
      <w:bookmarkEnd w:id="23"/>
      <w:bookmarkEnd w:id="24"/>
      <w:bookmarkEnd w:id="25"/>
      <w:bookmarkEnd w:id="26"/>
      <w:bookmarkEnd w:id="27"/>
      <w:bookmarkEnd w:id="28"/>
    </w:p>
    <w:bookmarkEnd w:id="29"/>
    <w:p>
      <w:pPr>
        <w:pStyle w:val="101"/>
        <w:ind w:firstLine="560"/>
      </w:pPr>
      <w:bookmarkStart w:id="32" w:name="_Hlk12287714"/>
      <w:r>
        <w:rPr>
          <w:rFonts w:hint="eastAsia"/>
        </w:rPr>
        <w:t>1.</w:t>
      </w:r>
      <w:r>
        <w:t xml:space="preserve"> </w:t>
      </w:r>
      <w:r>
        <w:rPr>
          <w:rFonts w:hint="eastAsia"/>
        </w:rPr>
        <w:t>高中阶段教育毕业生</w:t>
      </w:r>
    </w:p>
    <w:p>
      <w:pPr>
        <w:pStyle w:val="101"/>
        <w:ind w:firstLine="560"/>
      </w:pPr>
      <w:r>
        <w:rPr>
          <w:rFonts w:hint="eastAsia"/>
        </w:rPr>
        <w:t>2.</w:t>
      </w:r>
      <w:r>
        <w:t xml:space="preserve"> </w:t>
      </w:r>
      <w:r>
        <w:rPr>
          <w:rFonts w:hint="eastAsia"/>
        </w:rPr>
        <w:t>具有高中阶段同等学力者</w:t>
      </w:r>
    </w:p>
    <w:bookmarkEnd w:id="32"/>
    <w:p>
      <w:pPr>
        <w:pStyle w:val="90"/>
      </w:pPr>
      <w:bookmarkStart w:id="33" w:name="_Toc93520554"/>
      <w:bookmarkStart w:id="34" w:name="_Toc46303705"/>
      <w:bookmarkStart w:id="35" w:name="_Toc99219052"/>
      <w:bookmarkStart w:id="36" w:name="_Toc99220037"/>
      <w:bookmarkStart w:id="37" w:name="_Toc99220898"/>
      <w:bookmarkStart w:id="38" w:name="_Toc99222607"/>
      <w:bookmarkStart w:id="39" w:name="_Hlk11185867"/>
      <w:r>
        <w:rPr>
          <w:rFonts w:hint="eastAsia"/>
        </w:rPr>
        <w:t>三、修业年限</w:t>
      </w:r>
      <w:bookmarkEnd w:id="33"/>
      <w:bookmarkEnd w:id="34"/>
      <w:bookmarkEnd w:id="35"/>
      <w:bookmarkEnd w:id="36"/>
      <w:bookmarkEnd w:id="37"/>
      <w:bookmarkEnd w:id="38"/>
    </w:p>
    <w:bookmarkEnd w:id="39"/>
    <w:p>
      <w:pPr>
        <w:pStyle w:val="101"/>
        <w:ind w:firstLine="560"/>
      </w:pPr>
      <w:bookmarkStart w:id="40" w:name="_Hlk11185852"/>
      <w:bookmarkStart w:id="41" w:name="_Toc46303706"/>
      <w:bookmarkStart w:id="42" w:name="_Hlk11185893"/>
      <w:bookmarkStart w:id="43" w:name="_Toc407697891"/>
      <w:bookmarkStart w:id="44" w:name="_Toc407696133"/>
      <w:bookmarkStart w:id="45" w:name="_Toc405393376"/>
      <w:r>
        <w:rPr>
          <w:rFonts w:hint="eastAsia"/>
        </w:rPr>
        <w:t>修业基本年限3年，弹性学制，修业年限3-6年</w:t>
      </w:r>
    </w:p>
    <w:bookmarkEnd w:id="40"/>
    <w:p>
      <w:pPr>
        <w:pStyle w:val="90"/>
      </w:pPr>
      <w:bookmarkStart w:id="46" w:name="_Toc93520555"/>
      <w:bookmarkStart w:id="47" w:name="_Toc99220038"/>
      <w:bookmarkStart w:id="48" w:name="_Toc99220899"/>
      <w:bookmarkStart w:id="49" w:name="_Toc99222608"/>
      <w:bookmarkStart w:id="50" w:name="_Toc99219053"/>
      <w:r>
        <w:rPr>
          <w:rFonts w:hint="eastAsia"/>
        </w:rPr>
        <w:t>四、职业面向</w:t>
      </w:r>
      <w:bookmarkEnd w:id="41"/>
      <w:bookmarkEnd w:id="46"/>
      <w:bookmarkEnd w:id="47"/>
      <w:bookmarkEnd w:id="48"/>
      <w:bookmarkEnd w:id="49"/>
      <w:bookmarkEnd w:id="50"/>
    </w:p>
    <w:p>
      <w:pPr>
        <w:pStyle w:val="89"/>
      </w:pPr>
      <w:bookmarkStart w:id="51" w:name="_Hlk11958191"/>
      <w:r>
        <w:rPr>
          <w:rFonts w:hint="eastAsia"/>
        </w:rPr>
        <w:t>表1  职业面向表</w:t>
      </w:r>
    </w:p>
    <w:bookmarkEnd w:id="42"/>
    <w:tbl>
      <w:tblPr>
        <w:tblStyle w:val="33"/>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8"/>
        <w:gridCol w:w="1056"/>
        <w:gridCol w:w="1118"/>
        <w:gridCol w:w="1038"/>
        <w:gridCol w:w="1551"/>
        <w:gridCol w:w="2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trPr>
        <w:tc>
          <w:tcPr>
            <w:tcW w:w="669" w:type="pct"/>
            <w:vAlign w:val="center"/>
          </w:tcPr>
          <w:p>
            <w:pPr>
              <w:pStyle w:val="99"/>
              <w:framePr w:hSpace="0" w:wrap="auto" w:vAnchor="margin" w:hAnchor="text" w:xAlign="left" w:yAlign="inline"/>
              <w:rPr>
                <w:rFonts w:ascii="宋体" w:hAnsi="宋体"/>
                <w:b/>
              </w:rPr>
            </w:pPr>
            <w:r>
              <w:rPr>
                <w:rFonts w:hint="eastAsia" w:ascii="宋体" w:hAnsi="宋体"/>
                <w:b/>
              </w:rPr>
              <w:t>所属专业大类（代码）</w:t>
            </w:r>
          </w:p>
        </w:tc>
        <w:tc>
          <w:tcPr>
            <w:tcW w:w="621" w:type="pct"/>
            <w:vAlign w:val="center"/>
          </w:tcPr>
          <w:p>
            <w:pPr>
              <w:pStyle w:val="99"/>
              <w:framePr w:hSpace="0" w:wrap="auto" w:vAnchor="margin" w:hAnchor="text" w:xAlign="left" w:yAlign="inline"/>
              <w:rPr>
                <w:rFonts w:ascii="宋体" w:hAnsi="宋体"/>
                <w:b/>
              </w:rPr>
            </w:pPr>
            <w:r>
              <w:rPr>
                <w:rFonts w:hint="eastAsia" w:ascii="宋体" w:hAnsi="宋体"/>
                <w:b/>
              </w:rPr>
              <w:t>所属专业类</w:t>
            </w:r>
          </w:p>
          <w:p>
            <w:pPr>
              <w:pStyle w:val="99"/>
              <w:framePr w:hSpace="0" w:wrap="auto" w:vAnchor="margin" w:hAnchor="text" w:xAlign="left" w:yAlign="inline"/>
              <w:rPr>
                <w:rFonts w:ascii="宋体" w:hAnsi="宋体"/>
                <w:b/>
              </w:rPr>
            </w:pPr>
            <w:r>
              <w:rPr>
                <w:rFonts w:hint="eastAsia" w:ascii="宋体" w:hAnsi="宋体"/>
                <w:b/>
              </w:rPr>
              <w:t>（代码）</w:t>
            </w:r>
          </w:p>
        </w:tc>
        <w:tc>
          <w:tcPr>
            <w:tcW w:w="786" w:type="pct"/>
            <w:vAlign w:val="center"/>
          </w:tcPr>
          <w:p>
            <w:pPr>
              <w:pStyle w:val="99"/>
              <w:framePr w:hSpace="0" w:wrap="auto" w:vAnchor="margin" w:hAnchor="text" w:xAlign="left" w:yAlign="inline"/>
              <w:rPr>
                <w:rFonts w:ascii="宋体" w:hAnsi="宋体"/>
                <w:b/>
              </w:rPr>
            </w:pPr>
            <w:r>
              <w:rPr>
                <w:rFonts w:hint="eastAsia" w:ascii="宋体" w:hAnsi="宋体"/>
                <w:b/>
              </w:rPr>
              <w:t>对应行业</w:t>
            </w:r>
          </w:p>
          <w:p>
            <w:pPr>
              <w:pStyle w:val="99"/>
              <w:framePr w:hSpace="0" w:wrap="auto" w:vAnchor="margin" w:hAnchor="text" w:xAlign="left" w:yAlign="inline"/>
              <w:rPr>
                <w:rFonts w:ascii="宋体" w:hAnsi="宋体"/>
                <w:b/>
              </w:rPr>
            </w:pPr>
            <w:r>
              <w:rPr>
                <w:rFonts w:hint="eastAsia" w:ascii="宋体" w:hAnsi="宋体"/>
                <w:b/>
              </w:rPr>
              <w:t>（代码）</w:t>
            </w:r>
          </w:p>
        </w:tc>
        <w:tc>
          <w:tcPr>
            <w:tcW w:w="674" w:type="pct"/>
            <w:vAlign w:val="center"/>
          </w:tcPr>
          <w:p>
            <w:pPr>
              <w:pStyle w:val="99"/>
              <w:framePr w:hSpace="0" w:wrap="auto" w:vAnchor="margin" w:hAnchor="text" w:xAlign="left" w:yAlign="inline"/>
              <w:rPr>
                <w:rFonts w:ascii="宋体" w:hAnsi="宋体"/>
                <w:b/>
              </w:rPr>
            </w:pPr>
            <w:r>
              <w:rPr>
                <w:rFonts w:hint="eastAsia" w:ascii="宋体" w:hAnsi="宋体"/>
                <w:b/>
              </w:rPr>
              <w:t>主要职业类别（代码）</w:t>
            </w:r>
          </w:p>
        </w:tc>
        <w:tc>
          <w:tcPr>
            <w:tcW w:w="975" w:type="pct"/>
            <w:vAlign w:val="center"/>
          </w:tcPr>
          <w:p>
            <w:pPr>
              <w:pStyle w:val="99"/>
              <w:framePr w:hSpace="0" w:wrap="auto" w:vAnchor="margin" w:hAnchor="text" w:xAlign="left" w:yAlign="inline"/>
              <w:rPr>
                <w:rFonts w:ascii="宋体" w:hAnsi="宋体"/>
                <w:b/>
              </w:rPr>
            </w:pPr>
            <w:r>
              <w:rPr>
                <w:rFonts w:hint="eastAsia" w:ascii="宋体" w:hAnsi="宋体"/>
                <w:b/>
              </w:rPr>
              <w:t>主要岗位群或技术领域举例</w:t>
            </w:r>
          </w:p>
        </w:tc>
        <w:tc>
          <w:tcPr>
            <w:tcW w:w="1274" w:type="pct"/>
            <w:vAlign w:val="center"/>
          </w:tcPr>
          <w:p>
            <w:pPr>
              <w:pStyle w:val="99"/>
              <w:framePr w:hSpace="0" w:wrap="auto" w:vAnchor="margin" w:hAnchor="text" w:xAlign="left" w:yAlign="inline"/>
              <w:rPr>
                <w:rFonts w:ascii="宋体" w:hAnsi="宋体"/>
                <w:b/>
              </w:rPr>
            </w:pPr>
            <w:r>
              <w:rPr>
                <w:rFonts w:hint="eastAsia" w:ascii="宋体" w:hAnsi="宋体"/>
                <w:b/>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0" w:hRule="exact"/>
        </w:trPr>
        <w:tc>
          <w:tcPr>
            <w:tcW w:w="669" w:type="pct"/>
            <w:vAlign w:val="center"/>
          </w:tcPr>
          <w:p>
            <w:pPr>
              <w:pStyle w:val="99"/>
              <w:framePr w:hSpace="0" w:wrap="auto" w:vAnchor="margin" w:hAnchor="text" w:xAlign="left" w:yAlign="inline"/>
              <w:rPr>
                <w:rFonts w:ascii="宋体" w:hAnsi="宋体"/>
              </w:rPr>
            </w:pPr>
            <w:r>
              <w:rPr>
                <w:rFonts w:hint="eastAsia" w:ascii="宋体" w:hAnsi="宋体"/>
              </w:rPr>
              <w:t>电子信息大类（51）</w:t>
            </w:r>
          </w:p>
        </w:tc>
        <w:tc>
          <w:tcPr>
            <w:tcW w:w="621" w:type="pct"/>
            <w:vAlign w:val="center"/>
          </w:tcPr>
          <w:p>
            <w:pPr>
              <w:pStyle w:val="99"/>
              <w:framePr w:hSpace="0" w:wrap="auto" w:vAnchor="margin" w:hAnchor="text" w:xAlign="left" w:yAlign="inline"/>
              <w:rPr>
                <w:rFonts w:ascii="宋体" w:hAnsi="宋体"/>
              </w:rPr>
            </w:pPr>
            <w:r>
              <w:rPr>
                <w:rFonts w:hint="eastAsia" w:ascii="宋体" w:hAnsi="宋体"/>
              </w:rPr>
              <w:t>计算机类</w:t>
            </w:r>
          </w:p>
          <w:p>
            <w:pPr>
              <w:pStyle w:val="99"/>
              <w:framePr w:hSpace="0" w:wrap="auto" w:vAnchor="margin" w:hAnchor="text" w:xAlign="left" w:yAlign="inline"/>
              <w:rPr>
                <w:rFonts w:ascii="宋体" w:hAnsi="宋体"/>
              </w:rPr>
            </w:pPr>
            <w:r>
              <w:rPr>
                <w:rFonts w:hint="eastAsia" w:ascii="宋体" w:hAnsi="宋体"/>
              </w:rPr>
              <w:t>（5102）</w:t>
            </w:r>
          </w:p>
        </w:tc>
        <w:tc>
          <w:tcPr>
            <w:tcW w:w="786" w:type="pct"/>
            <w:vAlign w:val="center"/>
          </w:tcPr>
          <w:p>
            <w:pPr>
              <w:pStyle w:val="99"/>
              <w:framePr w:hSpace="0" w:wrap="auto" w:vAnchor="margin" w:hAnchor="text" w:xAlign="left" w:yAlign="inline"/>
              <w:rPr>
                <w:rFonts w:ascii="宋体" w:hAnsi="宋体"/>
              </w:rPr>
            </w:pPr>
            <w:r>
              <w:rPr>
                <w:rFonts w:ascii="宋体" w:hAnsi="宋体"/>
              </w:rPr>
              <w:t>互联网和相关服务(64);</w:t>
            </w:r>
          </w:p>
          <w:p>
            <w:pPr>
              <w:pStyle w:val="99"/>
              <w:framePr w:hSpace="0" w:wrap="auto" w:vAnchor="margin" w:hAnchor="text" w:xAlign="left" w:yAlign="inline"/>
              <w:rPr>
                <w:rFonts w:ascii="宋体" w:hAnsi="宋体"/>
              </w:rPr>
            </w:pPr>
            <w:r>
              <w:rPr>
                <w:rFonts w:ascii="宋体" w:hAnsi="宋体"/>
              </w:rPr>
              <w:t>软件和信息技术服务业(65)</w:t>
            </w:r>
          </w:p>
        </w:tc>
        <w:tc>
          <w:tcPr>
            <w:tcW w:w="674" w:type="pct"/>
            <w:vAlign w:val="center"/>
          </w:tcPr>
          <w:p>
            <w:pPr>
              <w:pStyle w:val="99"/>
              <w:framePr w:hSpace="0" w:wrap="auto" w:vAnchor="margin" w:hAnchor="text" w:xAlign="left" w:yAlign="inline"/>
              <w:rPr>
                <w:rFonts w:ascii="宋体" w:hAnsi="宋体"/>
              </w:rPr>
            </w:pPr>
            <w:r>
              <w:rPr>
                <w:rFonts w:hint="eastAsia" w:ascii="宋体" w:hAnsi="宋体"/>
              </w:rPr>
              <w:t>信息安全</w:t>
            </w:r>
            <w:r>
              <w:rPr>
                <w:rFonts w:ascii="宋体" w:hAnsi="宋体"/>
              </w:rPr>
              <w:t>运维</w:t>
            </w:r>
            <w:r>
              <w:rPr>
                <w:rFonts w:hint="eastAsia" w:ascii="宋体" w:hAnsi="宋体"/>
              </w:rPr>
              <w:t>人员</w:t>
            </w:r>
          </w:p>
          <w:p>
            <w:pPr>
              <w:pStyle w:val="99"/>
              <w:framePr w:hSpace="0" w:wrap="auto" w:vAnchor="margin" w:hAnchor="text" w:xAlign="left" w:yAlign="inline"/>
              <w:rPr>
                <w:rFonts w:ascii="宋体" w:hAnsi="宋体"/>
              </w:rPr>
            </w:pPr>
            <w:r>
              <w:rPr>
                <w:rFonts w:hint="eastAsia" w:ascii="宋体" w:hAnsi="宋体"/>
              </w:rPr>
              <w:t>信息安全</w:t>
            </w:r>
            <w:r>
              <w:rPr>
                <w:rFonts w:ascii="宋体" w:hAnsi="宋体"/>
              </w:rPr>
              <w:t>服务人员</w:t>
            </w:r>
          </w:p>
          <w:p>
            <w:pPr>
              <w:pStyle w:val="99"/>
              <w:framePr w:hSpace="0" w:wrap="auto" w:vAnchor="margin" w:hAnchor="text" w:xAlign="left" w:yAlign="inline"/>
              <w:rPr>
                <w:rFonts w:ascii="宋体" w:hAnsi="宋体"/>
              </w:rPr>
            </w:pPr>
          </w:p>
        </w:tc>
        <w:tc>
          <w:tcPr>
            <w:tcW w:w="975" w:type="pct"/>
            <w:vAlign w:val="center"/>
          </w:tcPr>
          <w:p>
            <w:pPr>
              <w:pStyle w:val="99"/>
              <w:framePr w:hSpace="0" w:wrap="auto" w:vAnchor="margin" w:hAnchor="text" w:xAlign="left" w:yAlign="inline"/>
              <w:rPr>
                <w:rFonts w:ascii="宋体" w:hAnsi="宋体"/>
              </w:rPr>
            </w:pPr>
            <w:r>
              <w:rPr>
                <w:rFonts w:hint="eastAsia" w:ascii="宋体" w:hAnsi="宋体"/>
              </w:rPr>
              <w:t>售前技术支持网络安全、</w:t>
            </w:r>
          </w:p>
          <w:p>
            <w:pPr>
              <w:pStyle w:val="99"/>
              <w:framePr w:hSpace="0" w:wrap="auto" w:vAnchor="margin" w:hAnchor="text" w:xAlign="left" w:yAlign="inline"/>
              <w:rPr>
                <w:rFonts w:ascii="宋体" w:hAnsi="宋体"/>
              </w:rPr>
            </w:pPr>
            <w:r>
              <w:rPr>
                <w:rFonts w:hint="eastAsia" w:ascii="宋体" w:hAnsi="宋体"/>
              </w:rPr>
              <w:t>Web安全、</w:t>
            </w:r>
          </w:p>
        </w:tc>
        <w:tc>
          <w:tcPr>
            <w:tcW w:w="1274" w:type="pct"/>
            <w:vAlign w:val="center"/>
          </w:tcPr>
          <w:p>
            <w:pPr>
              <w:pStyle w:val="99"/>
              <w:framePr w:hSpace="0" w:wrap="auto" w:vAnchor="margin" w:hAnchor="text" w:xAlign="left" w:yAlign="inline"/>
              <w:rPr>
                <w:rFonts w:ascii="宋体" w:hAnsi="宋体"/>
              </w:rPr>
            </w:pPr>
            <w:r>
              <w:rPr>
                <w:rFonts w:hint="eastAsia" w:ascii="宋体" w:hAnsi="宋体"/>
              </w:rPr>
              <w:t>网络安全工程师、CISP/CCNA/CCNP/HCIA/HCIP等</w:t>
            </w:r>
          </w:p>
        </w:tc>
      </w:tr>
      <w:bookmarkEnd w:id="51"/>
    </w:tbl>
    <w:p>
      <w:pPr>
        <w:pStyle w:val="90"/>
      </w:pPr>
      <w:bookmarkStart w:id="52" w:name="_Hlk11185969"/>
      <w:bookmarkStart w:id="53" w:name="_Toc99220900"/>
      <w:bookmarkStart w:id="54" w:name="_Toc93520556"/>
      <w:bookmarkStart w:id="55" w:name="_Toc46303707"/>
      <w:bookmarkStart w:id="56" w:name="_Toc99219054"/>
      <w:bookmarkStart w:id="57" w:name="_Toc99220039"/>
      <w:bookmarkStart w:id="58" w:name="_Toc99222609"/>
      <w:r>
        <w:rPr>
          <w:rFonts w:hint="eastAsia"/>
        </w:rPr>
        <w:t>五、</w:t>
      </w:r>
      <w:bookmarkEnd w:id="30"/>
      <w:bookmarkEnd w:id="31"/>
      <w:r>
        <w:rPr>
          <w:rFonts w:hint="eastAsia"/>
        </w:rPr>
        <w:t>培养目标及培养规格</w:t>
      </w:r>
      <w:bookmarkEnd w:id="43"/>
      <w:bookmarkEnd w:id="44"/>
      <w:bookmarkEnd w:id="45"/>
      <w:bookmarkEnd w:id="52"/>
      <w:bookmarkEnd w:id="53"/>
      <w:bookmarkEnd w:id="54"/>
      <w:bookmarkEnd w:id="55"/>
      <w:bookmarkEnd w:id="56"/>
      <w:bookmarkEnd w:id="57"/>
      <w:bookmarkEnd w:id="58"/>
      <w:bookmarkStart w:id="59" w:name="_Toc46303708"/>
      <w:bookmarkStart w:id="60" w:name="_Toc407696135"/>
      <w:bookmarkStart w:id="61" w:name="_Toc405393378"/>
      <w:bookmarkStart w:id="62" w:name="_Toc407697893"/>
    </w:p>
    <w:p>
      <w:pPr>
        <w:pStyle w:val="92"/>
      </w:pPr>
      <w:bookmarkStart w:id="63" w:name="_Toc99220901"/>
      <w:bookmarkStart w:id="64" w:name="_Toc99220040"/>
      <w:bookmarkStart w:id="65" w:name="_Toc99222610"/>
      <w:bookmarkStart w:id="66" w:name="_Toc93520557"/>
      <w:bookmarkStart w:id="67" w:name="_Toc99219055"/>
      <w:r>
        <w:rPr>
          <w:rFonts w:hint="eastAsia"/>
        </w:rPr>
        <w:t>（一）培养目标</w:t>
      </w:r>
      <w:bookmarkEnd w:id="59"/>
      <w:bookmarkEnd w:id="60"/>
      <w:bookmarkEnd w:id="61"/>
      <w:bookmarkEnd w:id="62"/>
      <w:bookmarkEnd w:id="63"/>
      <w:bookmarkEnd w:id="64"/>
      <w:bookmarkEnd w:id="65"/>
      <w:bookmarkEnd w:id="66"/>
      <w:bookmarkEnd w:id="67"/>
    </w:p>
    <w:p>
      <w:pPr>
        <w:pStyle w:val="92"/>
        <w:ind w:left="420" w:firstLine="420"/>
        <w:rPr>
          <w:rFonts w:eastAsia="宋体"/>
          <w:color w:val="auto"/>
          <w:sz w:val="28"/>
        </w:rPr>
      </w:pPr>
      <w:bookmarkStart w:id="68" w:name="_Toc99220041"/>
      <w:bookmarkStart w:id="69" w:name="_Toc46303711"/>
      <w:bookmarkStart w:id="70" w:name="_Toc99222611"/>
      <w:bookmarkStart w:id="71" w:name="_Toc99220902"/>
      <w:bookmarkStart w:id="72" w:name="_Toc93520558"/>
      <w:bookmarkStart w:id="73" w:name="_Toc99219056"/>
      <w:bookmarkStart w:id="74" w:name="_Hlk11186088"/>
      <w:r>
        <w:rPr>
          <w:rFonts w:hint="eastAsia" w:eastAsia="宋体"/>
          <w:color w:val="auto"/>
          <w:sz w:val="28"/>
        </w:rPr>
        <w:t>本专业坚持立德树人，培养理想信念坚定，德、智、体、美、劳全面发展，具有一定的科学文化水平，良好的人文素养、职业道德和创新意识，精益求精的工匠精神，较强的就业能力和可持续发展的能力；掌握计算机、操作系统及网络设备安装、调试、配置、管理与维护、漏洞探测等专业知识，具备网络安全工程师、系统运维工程师、Web安全工程师等岗位群应具备的专业技能，具备安全相关知识认知和迁移能力、团队合作能力、创新能力等支撑终身发展、适应时代安全要求的关键能力，具有较强的就业创业能力，面向信息安全技术职业群，能够从事网络安全系统集成、网络安全运维、Web安全管理等工作的高素质劳动者和技术技能人才。</w:t>
      </w:r>
    </w:p>
    <w:p>
      <w:pPr>
        <w:pStyle w:val="92"/>
      </w:pPr>
      <w:r>
        <w:rPr>
          <w:rFonts w:hint="eastAsia"/>
        </w:rPr>
        <w:t>（二）培养规格</w:t>
      </w:r>
      <w:bookmarkEnd w:id="68"/>
      <w:bookmarkEnd w:id="69"/>
      <w:bookmarkEnd w:id="70"/>
      <w:bookmarkEnd w:id="71"/>
      <w:bookmarkEnd w:id="72"/>
      <w:bookmarkEnd w:id="73"/>
    </w:p>
    <w:bookmarkEnd w:id="74"/>
    <w:p>
      <w:pPr>
        <w:pStyle w:val="94"/>
      </w:pPr>
      <w:r>
        <w:rPr>
          <w:rFonts w:hint="eastAsia"/>
        </w:rPr>
        <w:t>1.</w:t>
      </w:r>
      <w:r>
        <w:t xml:space="preserve"> </w:t>
      </w:r>
      <w:r>
        <w:rPr>
          <w:rFonts w:hint="eastAsia"/>
        </w:rPr>
        <w:t>素质要求</w:t>
      </w:r>
    </w:p>
    <w:p>
      <w:pPr>
        <w:pStyle w:val="101"/>
        <w:ind w:firstLine="560"/>
      </w:pPr>
      <w:r>
        <w:rPr>
          <w:rFonts w:hint="eastAsia"/>
        </w:rPr>
        <w:t>（1）坚定拥护中国共产党领导和我国社会主义制度，在习近平新时代中国特色社会主义思想指引下，践行社会主义核心价值观，具有深厚的爱国情感和中华民族自豪感。</w:t>
      </w:r>
    </w:p>
    <w:p>
      <w:pPr>
        <w:pStyle w:val="101"/>
        <w:ind w:firstLine="560"/>
      </w:pPr>
      <w:r>
        <w:rPr>
          <w:rFonts w:hint="eastAsia"/>
        </w:rPr>
        <w:t>（2）崇尚宪法、遵法守纪、崇德向善、诚实守信、尊重生命、热爱劳动，履行道德准则和行为规范，具有社会责任感和社会参与意识。</w:t>
      </w:r>
    </w:p>
    <w:p>
      <w:pPr>
        <w:pStyle w:val="101"/>
        <w:ind w:firstLine="560"/>
      </w:pPr>
      <w:r>
        <w:rPr>
          <w:rFonts w:hint="eastAsia"/>
        </w:rPr>
        <w:t>（3）具有质量意识、环保意识、安全意识、信息素养、工匠精神、创新思维。</w:t>
      </w:r>
    </w:p>
    <w:p>
      <w:pPr>
        <w:pStyle w:val="101"/>
        <w:ind w:firstLine="560"/>
      </w:pPr>
      <w:r>
        <w:rPr>
          <w:rFonts w:hint="eastAsia"/>
        </w:rPr>
        <w:t>（4）勇于奋斗、乐观向上，具有自我管理能力、职业生涯规划的意识，有较强的集体意识和团队合作精神。</w:t>
      </w:r>
    </w:p>
    <w:p>
      <w:pPr>
        <w:pStyle w:val="101"/>
        <w:ind w:firstLine="560"/>
      </w:pPr>
      <w:r>
        <w:rPr>
          <w:rFonts w:hint="eastAsia"/>
        </w:rPr>
        <w:t>（5）具有健康的体魄、心理和健全的人格，掌握基本运动知识和1</w:t>
      </w:r>
      <w:r>
        <w:t>-</w:t>
      </w:r>
      <w:r>
        <w:rPr>
          <w:rFonts w:hint="eastAsia"/>
        </w:rPr>
        <w:t>2项运动技能，养成良好的健身与卫生习惯，以及良好的行为习惯。</w:t>
      </w:r>
    </w:p>
    <w:p>
      <w:pPr>
        <w:pStyle w:val="101"/>
        <w:ind w:firstLine="560"/>
        <w:rPr>
          <w:rFonts w:ascii="宋体" w:hAnsi="宋体"/>
        </w:rPr>
      </w:pPr>
      <w:r>
        <w:rPr>
          <w:rFonts w:hint="eastAsia"/>
        </w:rPr>
        <w:t>（6）具有一定的审美和人文素养，能够形成1</w:t>
      </w:r>
      <w:r>
        <w:t>-</w:t>
      </w:r>
      <w:r>
        <w:rPr>
          <w:rFonts w:hint="eastAsia"/>
        </w:rPr>
        <w:t>2项艺术特长或爱好。</w:t>
      </w:r>
    </w:p>
    <w:p>
      <w:pPr>
        <w:pStyle w:val="94"/>
      </w:pPr>
      <w:r>
        <w:rPr>
          <w:rFonts w:hint="eastAsia"/>
        </w:rPr>
        <w:t>2.</w:t>
      </w:r>
      <w:r>
        <w:t xml:space="preserve"> </w:t>
      </w:r>
      <w:r>
        <w:rPr>
          <w:rFonts w:hint="eastAsia"/>
        </w:rPr>
        <w:t>知识要求</w:t>
      </w:r>
    </w:p>
    <w:p>
      <w:pPr>
        <w:pStyle w:val="101"/>
        <w:ind w:firstLine="560"/>
      </w:pPr>
      <w:r>
        <w:rPr>
          <w:rFonts w:hint="eastAsia"/>
        </w:rPr>
        <w:t>（1）掌握探究学习、终身学习、分析问题和解决问题的能力。</w:t>
      </w:r>
    </w:p>
    <w:p>
      <w:pPr>
        <w:pStyle w:val="101"/>
        <w:ind w:firstLine="560"/>
      </w:pPr>
      <w:r>
        <w:rPr>
          <w:rFonts w:hint="eastAsia"/>
        </w:rPr>
        <w:t>（2）掌握良好的语言、文字表达能力和沟通能力。</w:t>
      </w:r>
    </w:p>
    <w:p>
      <w:pPr>
        <w:pStyle w:val="101"/>
        <w:ind w:firstLine="560"/>
      </w:pPr>
      <w:r>
        <w:rPr>
          <w:rFonts w:hint="eastAsia"/>
        </w:rPr>
        <w:t>（3）掌握信息检索、加工和整理、归纳的能力。</w:t>
      </w:r>
    </w:p>
    <w:p>
      <w:pPr>
        <w:pStyle w:val="101"/>
        <w:ind w:firstLine="560"/>
      </w:pPr>
      <w:r>
        <w:rPr>
          <w:rFonts w:hint="eastAsia"/>
        </w:rPr>
        <w:t>（4）掌握根据用户的需求，进行网络操作系统选择、操作系统安装、用户管理、资源配置与管理、www 及电子邮件等各类应用服务器部署的能力。</w:t>
      </w:r>
    </w:p>
    <w:p>
      <w:pPr>
        <w:pStyle w:val="101"/>
        <w:ind w:firstLine="560"/>
      </w:pPr>
      <w:r>
        <w:rPr>
          <w:rFonts w:hint="eastAsia"/>
        </w:rPr>
        <w:t>（5）掌握根据用户信息系统的管理要求，进行数据库系统的安装、安全管理，数据备份、灾难恢复、服务器集群构建、容器技术、负载均衡技术、运维管理等能力。</w:t>
      </w:r>
    </w:p>
    <w:p>
      <w:pPr>
        <w:pStyle w:val="101"/>
        <w:ind w:firstLine="560"/>
      </w:pPr>
      <w:r>
        <w:rPr>
          <w:rFonts w:hint="eastAsia"/>
        </w:rPr>
        <w:t>（6）掌握根据实际项目、任务要求，完成网络及安全设备选择、规划、配置、管理、安全防范等方面综合能力，保证网络安全畅通运行；出现故障时能快速定位、及时排查，解决实际问题。</w:t>
      </w:r>
    </w:p>
    <w:p>
      <w:pPr>
        <w:pStyle w:val="101"/>
        <w:ind w:firstLine="560"/>
      </w:pPr>
      <w:r>
        <w:rPr>
          <w:rFonts w:hint="eastAsia"/>
        </w:rPr>
        <w:t>（7）掌握根据用户系统安全防护的要求，进行防病毒系统部署、系统安全加固、系统或数据加密解密、系统升级、系统安全评估等方面的综合能力。</w:t>
      </w:r>
    </w:p>
    <w:p>
      <w:pPr>
        <w:pStyle w:val="101"/>
        <w:ind w:firstLine="560"/>
      </w:pPr>
      <w:r>
        <w:rPr>
          <w:rFonts w:hint="eastAsia"/>
        </w:rPr>
        <w:t>（8）掌握根据用户需求，设计开发特定功能和安全要求的软件系统能力，软件项目的需求文档、设计文档的组织编写能力，软件项目的功能测试、性能测试、安全漏洞分析等综合能力。</w:t>
      </w:r>
    </w:p>
    <w:p>
      <w:pPr>
        <w:pStyle w:val="94"/>
      </w:pPr>
      <w:r>
        <w:rPr>
          <w:rFonts w:hint="eastAsia"/>
        </w:rPr>
        <w:t>3.</w:t>
      </w:r>
      <w:r>
        <w:t xml:space="preserve"> </w:t>
      </w:r>
      <w:r>
        <w:rPr>
          <w:rFonts w:hint="eastAsia"/>
        </w:rPr>
        <w:t>能力要求</w:t>
      </w:r>
    </w:p>
    <w:p>
      <w:pPr>
        <w:pStyle w:val="101"/>
        <w:ind w:firstLine="560"/>
      </w:pPr>
      <w:r>
        <w:rPr>
          <w:rFonts w:hint="eastAsia"/>
        </w:rPr>
        <w:t>（1）思想政治素质：通过学习马克思主义、毛泽东思想和中国特色社会主义理论体系的观点和思想方法，树立正确的世界观、人生观和价值观；具有较好的道德修养和身心素质，</w:t>
      </w:r>
      <w:r>
        <w:t>树立遵纪守法、</w:t>
      </w:r>
      <w:r>
        <w:rPr>
          <w:rFonts w:hint="eastAsia"/>
        </w:rPr>
        <w:t>遵</w:t>
      </w:r>
      <w:r>
        <w:t>章守纪的法制观念</w:t>
      </w:r>
      <w:r>
        <w:rPr>
          <w:rFonts w:hint="eastAsia"/>
        </w:rPr>
        <w:t>。</w:t>
      </w:r>
    </w:p>
    <w:p>
      <w:pPr>
        <w:pStyle w:val="101"/>
        <w:ind w:firstLine="560"/>
      </w:pPr>
      <w:r>
        <w:rPr>
          <w:rFonts w:hint="eastAsia"/>
        </w:rPr>
        <w:t>（2）职业素质：</w:t>
      </w:r>
      <w:r>
        <w:t>具有良好的职业道德和敬业精神，</w:t>
      </w:r>
      <w:r>
        <w:rPr>
          <w:rFonts w:hint="eastAsia"/>
        </w:rPr>
        <w:t>做到</w:t>
      </w:r>
      <w:r>
        <w:t>吃苦耐劳、踏实肯</w:t>
      </w:r>
      <w:r>
        <w:rPr>
          <w:rFonts w:hint="eastAsia"/>
        </w:rPr>
        <w:t>干；</w:t>
      </w:r>
      <w:r>
        <w:t>树立诚</w:t>
      </w:r>
      <w:r>
        <w:rPr>
          <w:rFonts w:hint="eastAsia"/>
        </w:rPr>
        <w:t>实守</w:t>
      </w:r>
      <w:r>
        <w:t>信意识和责任意识，有良好的社会责任感和使命感</w:t>
      </w:r>
      <w:r>
        <w:rPr>
          <w:rFonts w:hint="eastAsia"/>
        </w:rPr>
        <w:t>；</w:t>
      </w:r>
      <w:r>
        <w:t>能够</w:t>
      </w:r>
      <w:r>
        <w:rPr>
          <w:rFonts w:hint="eastAsia"/>
        </w:rPr>
        <w:t>严格遵守职业</w:t>
      </w:r>
      <w:r>
        <w:t>规范</w:t>
      </w:r>
      <w:r>
        <w:rPr>
          <w:rFonts w:hint="eastAsia"/>
        </w:rPr>
        <w:t>及操作规程，</w:t>
      </w:r>
      <w:r>
        <w:t>具有较强的安全和环保意识</w:t>
      </w:r>
      <w:r>
        <w:rPr>
          <w:rFonts w:hint="eastAsia"/>
        </w:rPr>
        <w:t>。</w:t>
      </w:r>
    </w:p>
    <w:p>
      <w:pPr>
        <w:pStyle w:val="101"/>
        <w:ind w:firstLine="560"/>
      </w:pPr>
      <w:r>
        <w:rPr>
          <w:rFonts w:hint="eastAsia"/>
        </w:rPr>
        <w:t>（3）人文素养与科学素质：具有较为宽阔的视野，文理交融；具有一定的科学思维和科学探索精神；具备健康、高雅的审美情趣和正确的审美观点、较强的审美能力；个性鲜明、学有所长。</w:t>
      </w:r>
    </w:p>
    <w:p>
      <w:pPr>
        <w:pStyle w:val="101"/>
        <w:ind w:firstLine="560"/>
        <w:rPr>
          <w:rFonts w:hAnsi="宋体"/>
          <w:color w:val="000000"/>
        </w:rPr>
      </w:pPr>
      <w:r>
        <w:rPr>
          <w:rFonts w:hint="eastAsia"/>
        </w:rPr>
        <w:t>（4）身心素质：具有一定的体育运动和生理卫生知识，养成良好的锻炼身体、讲究卫生的习惯，掌握一定的运动技能，达到国家规定的体育健康标准；具有坚韧不拔的毅力、积极乐观的态度、良好的人际关系、健全的人格品质。</w:t>
      </w:r>
    </w:p>
    <w:p>
      <w:pPr>
        <w:pStyle w:val="90"/>
      </w:pPr>
      <w:bookmarkStart w:id="75" w:name="_Toc99219057"/>
      <w:bookmarkStart w:id="76" w:name="_Toc99220903"/>
      <w:bookmarkStart w:id="77" w:name="_Toc93520559"/>
      <w:bookmarkStart w:id="78" w:name="_Toc99222612"/>
      <w:bookmarkStart w:id="79" w:name="_Toc99220042"/>
      <w:bookmarkStart w:id="80" w:name="_Toc46303714"/>
      <w:bookmarkStart w:id="81" w:name="_Hlk11958231"/>
      <w:r>
        <w:rPr>
          <w:rFonts w:hint="eastAsia"/>
        </w:rPr>
        <w:t>六、培养模式</w:t>
      </w:r>
      <w:bookmarkEnd w:id="75"/>
      <w:bookmarkEnd w:id="76"/>
      <w:bookmarkEnd w:id="77"/>
      <w:bookmarkEnd w:id="78"/>
      <w:bookmarkEnd w:id="79"/>
    </w:p>
    <w:p>
      <w:pPr>
        <w:pStyle w:val="92"/>
      </w:pPr>
      <w:bookmarkStart w:id="82" w:name="_Toc99222613"/>
      <w:bookmarkStart w:id="83" w:name="_Toc99219058"/>
      <w:bookmarkStart w:id="84" w:name="_Toc99220904"/>
      <w:bookmarkStart w:id="85" w:name="_Toc99220043"/>
      <w:r>
        <w:rPr>
          <w:rFonts w:hint="eastAsia"/>
        </w:rPr>
        <w:t>（一）“课岗融通，赛证促进，综合发展”人才培养模式的内涵</w:t>
      </w:r>
      <w:bookmarkEnd w:id="82"/>
      <w:bookmarkEnd w:id="83"/>
      <w:bookmarkEnd w:id="84"/>
      <w:bookmarkEnd w:id="85"/>
    </w:p>
    <w:p>
      <w:pPr>
        <w:pStyle w:val="101"/>
        <w:ind w:firstLine="560"/>
      </w:pPr>
      <w:r>
        <w:rPr>
          <w:rFonts w:hint="eastAsia"/>
        </w:rPr>
        <w:t>“课岗融通”：以信息系统软件安全开发岗位、信息系统工程安全管理岗位两个就业岗位为主线，结合国家、行业、企业的人才需求，确定岗位工作任务的知识、技能与素质要求，构建课程体系，确定课程结构。从而实现人才培养目标与岗位需求相统一，课程设置与职业能力需求统一，课程目标与岗位标准相统一，教学内容与岗位技能相统一。</w:t>
      </w:r>
    </w:p>
    <w:p>
      <w:pPr>
        <w:pStyle w:val="101"/>
        <w:ind w:firstLine="560"/>
      </w:pPr>
      <w:r>
        <w:t>“</w:t>
      </w:r>
      <w:r>
        <w:rPr>
          <w:rFonts w:hint="eastAsia"/>
        </w:rPr>
        <w:t>赛证促进</w:t>
      </w:r>
      <w:r>
        <w:t>”:</w:t>
      </w:r>
      <w:r>
        <w:rPr>
          <w:rFonts w:hint="eastAsia"/>
        </w:rPr>
        <w:t>通过职业技能大赛的内涵与竞争体系建设，达到“以赛促学，以赛促教</w:t>
      </w:r>
      <w:r>
        <w:t>”</w:t>
      </w:r>
      <w:r>
        <w:rPr>
          <w:rFonts w:hint="eastAsia"/>
        </w:rPr>
        <w:t>，将各种竞赛项目嵌入课程教学当中，设计课程教学内容和实训项目；加强与职业技能鉴定机构的合作，将相关课程考试考查与职业技能鉴定合并进行，将课程教学与行业技能证书的需求相结合，达到技能大赛和职业技能证书的获取促进教学效果的实施。</w:t>
      </w:r>
    </w:p>
    <w:p>
      <w:pPr>
        <w:pStyle w:val="101"/>
        <w:ind w:firstLine="560"/>
        <w:rPr>
          <w:rFonts w:ascii="宋体" w:hAnsi="宋体"/>
        </w:rPr>
      </w:pPr>
      <w:r>
        <w:t>“</w:t>
      </w:r>
      <w:r>
        <w:rPr>
          <w:rFonts w:hint="eastAsia"/>
        </w:rPr>
        <w:t>综合发展</w:t>
      </w:r>
      <w:r>
        <w:t>”:</w:t>
      </w:r>
      <w:r>
        <w:rPr>
          <w:rFonts w:hint="eastAsia"/>
        </w:rPr>
        <w:t>坚持科学办学，明确高等职业教育改革发展思路。以培养生产、建设、管理、服务第一线专科层次的高素质技能型专门人才为根本任务，主动适应区域经济社会发展需要，以就业为导向，走产学研结合发展道路，推进校企合作办学，合作育人，通过职业大赛和技能证的获取来促进能力培养</w:t>
      </w:r>
      <w:r>
        <w:rPr>
          <w:rFonts w:hint="eastAsia" w:ascii="宋体" w:hAnsi="宋体"/>
        </w:rPr>
        <w:t>，突出人才培养的针对性、灵活性和开放性，不断提高社会服务能力。</w:t>
      </w:r>
    </w:p>
    <w:p>
      <w:pPr>
        <w:pStyle w:val="92"/>
      </w:pPr>
      <w:bookmarkStart w:id="86" w:name="_Toc99220905"/>
      <w:bookmarkStart w:id="87" w:name="_Toc99222614"/>
      <w:bookmarkStart w:id="88" w:name="_Toc99220044"/>
      <w:bookmarkStart w:id="89" w:name="_Toc99219059"/>
      <w:r>
        <w:rPr>
          <w:rFonts w:hint="eastAsia"/>
        </w:rPr>
        <w:t>（二）“课岗融通，赛证促进，综合发展”人才培养模式的实施</w:t>
      </w:r>
      <w:bookmarkEnd w:id="86"/>
      <w:bookmarkEnd w:id="87"/>
      <w:bookmarkEnd w:id="88"/>
      <w:bookmarkEnd w:id="89"/>
    </w:p>
    <w:p>
      <w:pPr>
        <w:pStyle w:val="101"/>
        <w:ind w:firstLine="560"/>
      </w:pPr>
      <w:r>
        <w:rPr>
          <w:rFonts w:hint="eastAsia"/>
        </w:rPr>
        <w:t>以岗位能力培养为核心，采用产教融合培养模式培养信息安全技术复合人才。深化产教融合是提升高职学校专业建设、提升应用型人才培养质量的关键所在。学校根据学生主要的信息安全就业方向，主动向地方信息安全产业融入，推动学校，地方，行业，企业的多方交流，一同参与合作办学，合作管理，促进学校整合各方人力、资金、项目等资源。产教融合过程中，学校根据信息安全培养方案和信息安全产业链的需求，和企业的工作人员共同制定每学期的实训规划；根据规划，选定项目任务，制定项目方案；学校把与项目任务相关的专业知识教授给学生后讲解实践过程中的注意事项，学生进行实践操作，最后由学校和企业人员进行评价。</w:t>
      </w:r>
    </w:p>
    <w:p>
      <w:pPr>
        <w:pStyle w:val="101"/>
        <w:ind w:firstLine="560"/>
      </w:pPr>
      <w:r>
        <w:rPr>
          <w:rFonts w:hint="eastAsia"/>
        </w:rPr>
        <w:t>以职业技能大赛和技能证为引导，积极优化课程内容。建立技能大赛表彰奖励制度，在评先奖优、就业推荐、等方面给予政策倾斜和优先考虑。依据选取贴合专业的职业技能大赛和技能证书，进一步修改教学计划、增补教学内容、加强实训环节。将理论与实践教学相结合，课内与课外教学相结合，讲授与自我提高相结合。实施课程模块化：根据职业技能竞赛规程、能力要求和职业资格要求来强化训练，模块内容，淘汰开发新模块；采取多种教学方法：项目教学法，案例教学法，模拟教学法等行为导向教学；推进教材实训化，课堂训练化：对每堂课的教学内容和训练方法都制定详细的实施细则，明确考核要求。</w:t>
      </w:r>
    </w:p>
    <w:p>
      <w:pPr>
        <w:pStyle w:val="101"/>
        <w:ind w:firstLine="560"/>
      </w:pPr>
      <w:r>
        <w:rPr>
          <w:rFonts w:hint="eastAsia"/>
        </w:rPr>
        <w:t>多元化考核，培养学生综合发展。在实践中，过程考核包括出勤、作业、课堂表现等方面，考核的方式包括阶段考核，期末考核等，突出考核目的。专业课的考核应以技能考核为主，减少理论考试。鼓励学生参加校、市、省、国家多级赛制，各具特色的职业技能竞赛，根据获奖名次在期末成绩上适当加分，将个别课程的考核与技能证的取得结合，采取多种方式考核，综合评价学生，促进学生综合发展。</w:t>
      </w:r>
    </w:p>
    <w:p>
      <w:pPr>
        <w:pStyle w:val="90"/>
      </w:pPr>
      <w:bookmarkStart w:id="90" w:name="_Toc99222615"/>
      <w:bookmarkStart w:id="91" w:name="_Toc93520560"/>
      <w:bookmarkStart w:id="92" w:name="_Toc99219060"/>
      <w:bookmarkStart w:id="93" w:name="_Toc99220906"/>
      <w:bookmarkStart w:id="94" w:name="_Toc99220045"/>
      <w:r>
        <w:rPr>
          <w:rFonts w:hint="eastAsia"/>
        </w:rPr>
        <w:t>七、</w:t>
      </w:r>
      <w:bookmarkEnd w:id="80"/>
      <w:r>
        <w:rPr>
          <w:rFonts w:hint="eastAsia"/>
        </w:rPr>
        <w:t>课程体系</w:t>
      </w:r>
      <w:bookmarkEnd w:id="90"/>
      <w:bookmarkEnd w:id="91"/>
      <w:bookmarkEnd w:id="92"/>
      <w:bookmarkEnd w:id="93"/>
      <w:bookmarkEnd w:id="94"/>
    </w:p>
    <w:p>
      <w:pPr>
        <w:pStyle w:val="92"/>
      </w:pPr>
      <w:bookmarkStart w:id="95" w:name="_Toc407696143"/>
      <w:bookmarkStart w:id="96" w:name="_Toc46303715"/>
      <w:bookmarkStart w:id="97" w:name="_Toc405393386"/>
      <w:bookmarkStart w:id="98" w:name="_Toc407697901"/>
      <w:bookmarkStart w:id="99" w:name="_Toc99219061"/>
      <w:bookmarkStart w:id="100" w:name="_Toc99220907"/>
      <w:bookmarkStart w:id="101" w:name="_Toc99222616"/>
      <w:bookmarkStart w:id="102" w:name="_Toc99220046"/>
      <w:r>
        <w:rPr>
          <w:rFonts w:hint="eastAsia"/>
        </w:rPr>
        <w:t>（一）</w:t>
      </w:r>
      <w:bookmarkEnd w:id="95"/>
      <w:bookmarkEnd w:id="96"/>
      <w:bookmarkEnd w:id="97"/>
      <w:bookmarkEnd w:id="98"/>
      <w:r>
        <w:rPr>
          <w:rFonts w:hint="eastAsia"/>
        </w:rPr>
        <w:t>课程体系构建</w:t>
      </w:r>
      <w:bookmarkEnd w:id="99"/>
      <w:bookmarkEnd w:id="100"/>
      <w:bookmarkEnd w:id="101"/>
      <w:bookmarkEnd w:id="102"/>
    </w:p>
    <w:p>
      <w:pPr>
        <w:pStyle w:val="89"/>
      </w:pPr>
      <w:bookmarkStart w:id="103" w:name="_Toc405393387"/>
      <w:bookmarkStart w:id="104" w:name="_Toc407696144"/>
      <w:bookmarkStart w:id="105" w:name="_Toc407697902"/>
      <w:r>
        <w:rPr>
          <w:rFonts w:hint="eastAsia"/>
        </w:rPr>
        <w:t>表</w:t>
      </w:r>
      <w:r>
        <w:t>2  岗位职业能力和典型工作任务分析</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68"/>
        <w:gridCol w:w="1110"/>
        <w:gridCol w:w="3353"/>
        <w:gridCol w:w="17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85" w:type="pct"/>
            <w:vAlign w:val="center"/>
          </w:tcPr>
          <w:p>
            <w:pPr>
              <w:pStyle w:val="99"/>
              <w:framePr w:hSpace="0" w:wrap="auto" w:vAnchor="margin" w:hAnchor="text" w:xAlign="left" w:yAlign="inline"/>
              <w:jc w:val="center"/>
              <w:rPr>
                <w:rFonts w:ascii="宋体" w:hAnsi="宋体"/>
                <w:b/>
              </w:rPr>
            </w:pPr>
            <w:r>
              <w:rPr>
                <w:rFonts w:ascii="宋体" w:hAnsi="宋体"/>
                <w:b/>
              </w:rPr>
              <w:t>就业领域</w:t>
            </w:r>
          </w:p>
        </w:tc>
        <w:tc>
          <w:tcPr>
            <w:tcW w:w="685" w:type="pct"/>
            <w:vAlign w:val="center"/>
          </w:tcPr>
          <w:p>
            <w:pPr>
              <w:pStyle w:val="99"/>
              <w:framePr w:hSpace="0" w:wrap="auto" w:vAnchor="margin" w:hAnchor="text" w:xAlign="left" w:yAlign="inline"/>
              <w:jc w:val="center"/>
              <w:rPr>
                <w:rFonts w:ascii="宋体" w:hAnsi="宋体"/>
                <w:b/>
              </w:rPr>
            </w:pPr>
            <w:r>
              <w:rPr>
                <w:rFonts w:ascii="宋体" w:hAnsi="宋体"/>
                <w:b/>
              </w:rPr>
              <w:t>就业岗位</w:t>
            </w:r>
          </w:p>
        </w:tc>
        <w:tc>
          <w:tcPr>
            <w:tcW w:w="651" w:type="pct"/>
            <w:vAlign w:val="center"/>
          </w:tcPr>
          <w:p>
            <w:pPr>
              <w:pStyle w:val="99"/>
              <w:framePr w:hSpace="0" w:wrap="auto" w:vAnchor="margin" w:hAnchor="text" w:xAlign="left" w:yAlign="inline"/>
              <w:jc w:val="center"/>
              <w:rPr>
                <w:rFonts w:ascii="宋体" w:hAnsi="宋体"/>
                <w:b/>
              </w:rPr>
            </w:pPr>
            <w:r>
              <w:rPr>
                <w:rFonts w:ascii="宋体" w:hAnsi="宋体"/>
                <w:b/>
              </w:rPr>
              <w:t>工作任务</w:t>
            </w:r>
          </w:p>
        </w:tc>
        <w:tc>
          <w:tcPr>
            <w:tcW w:w="1966" w:type="pct"/>
            <w:vAlign w:val="center"/>
          </w:tcPr>
          <w:p>
            <w:pPr>
              <w:pStyle w:val="99"/>
              <w:framePr w:hSpace="0" w:wrap="auto" w:vAnchor="margin" w:hAnchor="text" w:xAlign="left" w:yAlign="inline"/>
              <w:jc w:val="center"/>
              <w:rPr>
                <w:rFonts w:ascii="宋体" w:hAnsi="宋体"/>
                <w:b/>
              </w:rPr>
            </w:pPr>
            <w:r>
              <w:rPr>
                <w:rFonts w:ascii="宋体" w:hAnsi="宋体"/>
                <w:b/>
              </w:rPr>
              <w:t>岗位所需能力</w:t>
            </w:r>
          </w:p>
        </w:tc>
        <w:tc>
          <w:tcPr>
            <w:tcW w:w="1013" w:type="pct"/>
            <w:vAlign w:val="center"/>
          </w:tcPr>
          <w:p>
            <w:pPr>
              <w:pStyle w:val="99"/>
              <w:framePr w:hSpace="0" w:wrap="auto" w:vAnchor="margin" w:hAnchor="text" w:xAlign="left" w:yAlign="inline"/>
              <w:jc w:val="center"/>
              <w:rPr>
                <w:rFonts w:ascii="宋体" w:hAnsi="宋体"/>
                <w:b/>
              </w:rPr>
            </w:pPr>
            <w:r>
              <w:rPr>
                <w:rFonts w:ascii="宋体" w:hAnsi="宋体"/>
                <w:b/>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5" w:type="pct"/>
            <w:vAlign w:val="center"/>
          </w:tcPr>
          <w:p>
            <w:pPr>
              <w:pStyle w:val="99"/>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信息安全</w:t>
            </w:r>
          </w:p>
        </w:tc>
        <w:tc>
          <w:tcPr>
            <w:tcW w:w="685" w:type="pct"/>
            <w:vAlign w:val="center"/>
          </w:tcPr>
          <w:p>
            <w:pPr>
              <w:pStyle w:val="99"/>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安全工程方向岗位</w:t>
            </w:r>
          </w:p>
        </w:tc>
        <w:tc>
          <w:tcPr>
            <w:tcW w:w="651" w:type="pct"/>
            <w:vAlign w:val="center"/>
          </w:tcPr>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网络安全</w:t>
            </w:r>
          </w:p>
          <w:p>
            <w:pPr>
              <w:pStyle w:val="99"/>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网络管理</w:t>
            </w:r>
          </w:p>
        </w:tc>
        <w:tc>
          <w:tcPr>
            <w:tcW w:w="1966" w:type="pct"/>
            <w:vAlign w:val="center"/>
          </w:tcPr>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1、使用计算机逻辑分析实际问题，构建系统需求分析和详细设计</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2、程序编程开发与运行测试</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3、开发工具的使用</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4、典型库类的使用</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5、经典设计模式的使用</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6、C/S、B/S、P2P结构的软件系统开发</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7、MVC、微服务架构软件体系设计</w:t>
            </w:r>
          </w:p>
          <w:p>
            <w:pPr>
              <w:pStyle w:val="99"/>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8、软件漏洞分析、软件系统测试与安全保障</w:t>
            </w:r>
          </w:p>
        </w:tc>
        <w:tc>
          <w:tcPr>
            <w:tcW w:w="1013" w:type="pct"/>
            <w:vAlign w:val="center"/>
          </w:tcPr>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信息安全基础</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计算机网络技术</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数据库技术</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Web渗透</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网络渗透测试</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网络安全设备管理技术</w:t>
            </w:r>
          </w:p>
          <w:p>
            <w:pPr>
              <w:pStyle w:val="99"/>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Linux</w:t>
            </w:r>
          </w:p>
          <w:p>
            <w:pPr>
              <w:pStyle w:val="9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Linux技术与安全</w:t>
            </w:r>
          </w:p>
          <w:p>
            <w:pPr>
              <w:pStyle w:val="99"/>
              <w:framePr w:hSpace="0" w:wrap="auto" w:vAnchor="margin" w:hAnchor="text" w:xAlign="left" w:yAlign="in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网络爬虫</w:t>
            </w:r>
          </w:p>
        </w:tc>
      </w:tr>
    </w:tbl>
    <w:p>
      <w:pPr>
        <w:pStyle w:val="92"/>
      </w:pPr>
      <w:bookmarkStart w:id="106" w:name="_Toc99219062"/>
      <w:bookmarkStart w:id="107" w:name="_Toc99220047"/>
      <w:bookmarkStart w:id="108" w:name="_Toc99222617"/>
      <w:bookmarkStart w:id="109" w:name="_Toc93520562"/>
      <w:bookmarkStart w:id="110" w:name="_Toc99220908"/>
      <w:r>
        <w:rPr>
          <w:rFonts w:hint="eastAsia"/>
        </w:rPr>
        <w:t>（二）课程设置及描述</w:t>
      </w:r>
      <w:bookmarkEnd w:id="106"/>
      <w:bookmarkEnd w:id="107"/>
      <w:bookmarkEnd w:id="108"/>
      <w:bookmarkEnd w:id="109"/>
      <w:bookmarkEnd w:id="110"/>
    </w:p>
    <w:p>
      <w:pPr>
        <w:pStyle w:val="89"/>
        <w:rPr>
          <w:rFonts w:ascii="宋体" w:hAnsi="宋体" w:cs="宋体"/>
          <w:color w:val="FF0000"/>
          <w:kern w:val="0"/>
        </w:rPr>
      </w:pPr>
      <w:r>
        <w:rPr>
          <w:rFonts w:hint="eastAsia"/>
        </w:rPr>
        <w:t xml:space="preserve">表3 </w:t>
      </w:r>
      <w:r>
        <w:t xml:space="preserve"> </w:t>
      </w:r>
      <w:r>
        <w:rPr>
          <w:rFonts w:hint="eastAsia"/>
        </w:rPr>
        <w:t>公共必修课程体系</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609"/>
        <w:gridCol w:w="1063"/>
        <w:gridCol w:w="2072"/>
        <w:gridCol w:w="231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rFonts w:ascii="宋体" w:hAnsi="宋体"/>
                <w:b/>
              </w:rPr>
            </w:pPr>
            <w:r>
              <w:rPr>
                <w:rFonts w:hint="eastAsia" w:ascii="宋体" w:hAnsi="宋体"/>
                <w:b/>
              </w:rPr>
              <w:t>序号</w:t>
            </w:r>
          </w:p>
        </w:tc>
        <w:tc>
          <w:tcPr>
            <w:tcW w:w="357"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rFonts w:ascii="宋体" w:hAnsi="宋体"/>
                <w:b/>
              </w:rPr>
            </w:pPr>
            <w:r>
              <w:rPr>
                <w:rFonts w:hint="eastAsia" w:ascii="宋体" w:hAnsi="宋体"/>
                <w:b/>
              </w:rPr>
              <w:t>课程性质</w:t>
            </w: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rFonts w:ascii="宋体" w:hAnsi="宋体"/>
                <w:b/>
              </w:rPr>
            </w:pPr>
            <w:r>
              <w:rPr>
                <w:rFonts w:hint="eastAsia" w:ascii="宋体" w:hAnsi="宋体"/>
                <w:b/>
              </w:rPr>
              <w:t>课程名称</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rFonts w:ascii="宋体" w:hAnsi="宋体"/>
                <w:b/>
              </w:rPr>
            </w:pPr>
            <w:r>
              <w:rPr>
                <w:rFonts w:hint="eastAsia" w:ascii="宋体" w:hAnsi="宋体"/>
                <w:b/>
              </w:rPr>
              <w:t>课程目标</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rFonts w:ascii="宋体" w:hAnsi="宋体"/>
                <w:b/>
              </w:rPr>
            </w:pPr>
            <w:r>
              <w:rPr>
                <w:rFonts w:hint="eastAsia" w:ascii="宋体" w:hAnsi="宋体"/>
                <w:b/>
              </w:rPr>
              <w:t>主要内容</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rFonts w:ascii="宋体" w:hAnsi="宋体"/>
                <w:b/>
              </w:rPr>
            </w:pPr>
            <w:r>
              <w:rPr>
                <w:rFonts w:hint="eastAsia" w:ascii="宋体" w:hAnsi="宋体"/>
                <w:b/>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1</w:t>
            </w:r>
          </w:p>
        </w:tc>
        <w:tc>
          <w:tcPr>
            <w:tcW w:w="357" w:type="pct"/>
            <w:vMerge w:val="restart"/>
            <w:tcBorders>
              <w:top w:val="single" w:color="auto" w:sz="4" w:space="0"/>
              <w:left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公共必修课程</w:t>
            </w: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w w:val="66"/>
              </w:rPr>
            </w:pPr>
            <w:r>
              <w:rPr>
                <w:rFonts w:hint="eastAsia" w:ascii="宋体" w:hAnsi="宋体"/>
              </w:rPr>
              <w:t>思想道德修养与法律基础</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2</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spacing w:val="-20"/>
              </w:rPr>
            </w:pPr>
            <w:r>
              <w:rPr>
                <w:rFonts w:hint="eastAsia" w:ascii="宋体" w:hAnsi="宋体"/>
              </w:rPr>
              <w:t>毛泽东思想和中国特色社会主义理论体系概论</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283" w:type="pct"/>
            <w:tcBorders>
              <w:top w:val="single" w:color="auto" w:sz="4" w:space="0"/>
              <w:left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3</w:t>
            </w:r>
          </w:p>
          <w:p>
            <w:pPr>
              <w:pStyle w:val="99"/>
              <w:framePr w:hSpace="0" w:wrap="auto" w:vAnchor="margin" w:hAnchor="text" w:xAlign="left" w:yAlign="inline"/>
              <w:rPr>
                <w:rFonts w:ascii="宋体" w:hAnsi="宋体"/>
              </w:rPr>
            </w:pP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军事理论</w:t>
            </w:r>
          </w:p>
        </w:tc>
        <w:tc>
          <w:tcPr>
            <w:tcW w:w="1215" w:type="pct"/>
            <w:tcBorders>
              <w:top w:val="single" w:color="auto" w:sz="4" w:space="0"/>
              <w:left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让学生了解掌握军事基础知识和基本军事技能，增强国防观念、国家安全意识和忧患危机意识，弘扬爱国主义精神、传承红色基因、提高学生综合国防素质</w:t>
            </w:r>
          </w:p>
        </w:tc>
        <w:tc>
          <w:tcPr>
            <w:tcW w:w="1358" w:type="pct"/>
            <w:tcBorders>
              <w:top w:val="single" w:color="auto" w:sz="4" w:space="0"/>
              <w:left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（1）中国国防</w:t>
            </w:r>
          </w:p>
          <w:p>
            <w:pPr>
              <w:pStyle w:val="99"/>
              <w:framePr w:hSpace="0" w:wrap="auto" w:vAnchor="margin" w:hAnchor="text" w:xAlign="left" w:yAlign="inline"/>
              <w:rPr>
                <w:rFonts w:ascii="宋体" w:hAnsi="宋体"/>
              </w:rPr>
            </w:pPr>
            <w:r>
              <w:rPr>
                <w:rFonts w:hint="eastAsia" w:ascii="宋体" w:hAnsi="宋体"/>
              </w:rPr>
              <w:t>（2）国家安全</w:t>
            </w:r>
          </w:p>
          <w:p>
            <w:pPr>
              <w:pStyle w:val="99"/>
              <w:framePr w:hSpace="0" w:wrap="auto" w:vAnchor="margin" w:hAnchor="text" w:xAlign="left" w:yAlign="inline"/>
              <w:rPr>
                <w:rFonts w:ascii="宋体" w:hAnsi="宋体"/>
              </w:rPr>
            </w:pPr>
            <w:r>
              <w:rPr>
                <w:rFonts w:hint="eastAsia" w:ascii="宋体" w:hAnsi="宋体"/>
              </w:rPr>
              <w:t>（3）军事思想</w:t>
            </w:r>
          </w:p>
          <w:p>
            <w:pPr>
              <w:pStyle w:val="99"/>
              <w:framePr w:hSpace="0" w:wrap="auto" w:vAnchor="margin" w:hAnchor="text" w:xAlign="left" w:yAlign="inline"/>
              <w:rPr>
                <w:rFonts w:ascii="宋体" w:hAnsi="宋体"/>
              </w:rPr>
            </w:pPr>
            <w:r>
              <w:rPr>
                <w:rFonts w:hint="eastAsia" w:ascii="宋体" w:hAnsi="宋体"/>
              </w:rPr>
              <w:t>（4）现代战争</w:t>
            </w:r>
          </w:p>
          <w:p>
            <w:pPr>
              <w:pStyle w:val="99"/>
              <w:framePr w:hSpace="0" w:wrap="auto" w:vAnchor="margin" w:hAnchor="text" w:xAlign="left" w:yAlign="inline"/>
              <w:rPr>
                <w:rFonts w:ascii="宋体" w:hAnsi="宋体"/>
              </w:rPr>
            </w:pPr>
            <w:r>
              <w:rPr>
                <w:rFonts w:hint="eastAsia" w:ascii="宋体" w:hAnsi="宋体"/>
              </w:rPr>
              <w:t>（5）信息化装备</w:t>
            </w:r>
          </w:p>
        </w:tc>
        <w:tc>
          <w:tcPr>
            <w:tcW w:w="1164" w:type="pct"/>
            <w:tcBorders>
              <w:top w:val="single" w:color="auto" w:sz="4" w:space="0"/>
              <w:left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ascii="宋体" w:hAnsi="宋体"/>
              </w:rPr>
              <w:t>4</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形势与政策</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ascii="宋体" w:hAnsi="宋体"/>
              </w:rPr>
              <w:t>5</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计算机应用基础</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cs="宋体"/>
                <w:kern w:val="0"/>
              </w:rPr>
            </w:pPr>
            <w:r>
              <w:rPr>
                <w:rFonts w:hint="eastAsia" w:ascii="宋体" w:hAnsi="宋体" w:cs="宋体"/>
                <w:kern w:val="0"/>
              </w:rPr>
              <w:t>（1）掌握计算机的基础知识和基本概念；了解微机硬件系统的基本组成；了解操作系统的功能，掌握Windows7的基本操作方法</w:t>
            </w:r>
          </w:p>
          <w:p>
            <w:pPr>
              <w:pStyle w:val="99"/>
              <w:framePr w:hSpace="0" w:wrap="auto" w:vAnchor="margin" w:hAnchor="text" w:xAlign="left" w:yAlign="inline"/>
              <w:rPr>
                <w:rFonts w:ascii="宋体" w:hAnsi="宋体" w:cs="宋体"/>
                <w:kern w:val="0"/>
              </w:rPr>
            </w:pPr>
            <w:r>
              <w:rPr>
                <w:rFonts w:hint="eastAsia" w:ascii="宋体" w:hAnsi="宋体" w:cs="宋体"/>
                <w:kern w:val="0"/>
              </w:rPr>
              <w:t>（2）熟练使用微软Office2010软件如：Word2010、Excel2010、</w:t>
            </w:r>
            <w:r>
              <w:rPr>
                <w:rFonts w:hint="eastAsia" w:ascii="宋体" w:hAnsi="宋体"/>
                <w:bCs/>
              </w:rPr>
              <w:t>Power point2010</w:t>
            </w:r>
            <w:r>
              <w:rPr>
                <w:rFonts w:hint="eastAsia" w:ascii="宋体" w:hAnsi="宋体" w:cs="宋体"/>
                <w:kern w:val="0"/>
              </w:rPr>
              <w:t>等</w:t>
            </w:r>
          </w:p>
          <w:p>
            <w:pPr>
              <w:pStyle w:val="99"/>
              <w:framePr w:hSpace="0" w:wrap="auto" w:vAnchor="margin" w:hAnchor="text" w:xAlign="left" w:yAlign="inline"/>
              <w:rPr>
                <w:rFonts w:ascii="宋体" w:hAnsi="宋体" w:cs="宋体"/>
                <w:kern w:val="0"/>
              </w:rPr>
            </w:pPr>
            <w:r>
              <w:rPr>
                <w:rFonts w:hint="eastAsia" w:ascii="宋体" w:hAnsi="宋体" w:cs="宋体"/>
                <w:kern w:val="0"/>
              </w:rPr>
              <w:t>（3）掌握计算机信息技术安全知识和病毒的防治知识</w:t>
            </w:r>
          </w:p>
          <w:p>
            <w:pPr>
              <w:pStyle w:val="99"/>
              <w:framePr w:hSpace="0" w:wrap="auto" w:vAnchor="margin" w:hAnchor="text" w:xAlign="left" w:yAlign="inline"/>
              <w:rPr>
                <w:rFonts w:ascii="宋体" w:hAnsi="宋体"/>
              </w:rPr>
            </w:pPr>
            <w:r>
              <w:rPr>
                <w:rFonts w:hint="eastAsia" w:ascii="宋体" w:hAnsi="宋体" w:cs="宋体"/>
                <w:kern w:val="0"/>
              </w:rPr>
              <w:t>（4）计算机网络的基础知识及Internet网的基本操作</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bCs/>
              </w:rPr>
            </w:pPr>
            <w:r>
              <w:rPr>
                <w:rFonts w:hint="eastAsia" w:ascii="宋体" w:hAnsi="宋体"/>
                <w:bCs/>
              </w:rPr>
              <w:t>（1）计算机的基础知识</w:t>
            </w:r>
          </w:p>
          <w:p>
            <w:pPr>
              <w:pStyle w:val="99"/>
              <w:framePr w:hSpace="0" w:wrap="auto" w:vAnchor="margin" w:hAnchor="text" w:xAlign="left" w:yAlign="inline"/>
              <w:rPr>
                <w:rFonts w:ascii="宋体" w:hAnsi="宋体"/>
                <w:bCs/>
              </w:rPr>
            </w:pPr>
            <w:r>
              <w:rPr>
                <w:rFonts w:hint="eastAsia" w:ascii="宋体" w:hAnsi="宋体"/>
                <w:bCs/>
              </w:rPr>
              <w:t>（2）Windows基本操作</w:t>
            </w:r>
          </w:p>
          <w:p>
            <w:pPr>
              <w:pStyle w:val="99"/>
              <w:framePr w:hSpace="0" w:wrap="auto" w:vAnchor="margin" w:hAnchor="text" w:xAlign="left" w:yAlign="inline"/>
              <w:rPr>
                <w:rFonts w:ascii="宋体" w:hAnsi="宋体"/>
                <w:bCs/>
              </w:rPr>
            </w:pPr>
            <w:r>
              <w:rPr>
                <w:rFonts w:hint="eastAsia" w:ascii="宋体" w:hAnsi="宋体"/>
                <w:bCs/>
              </w:rPr>
              <w:t>（3）文字处理软件</w:t>
            </w:r>
            <w:r>
              <w:rPr>
                <w:rFonts w:ascii="宋体" w:hAnsi="宋体"/>
                <w:bCs/>
              </w:rPr>
              <w:t>W</w:t>
            </w:r>
            <w:r>
              <w:rPr>
                <w:rFonts w:hint="eastAsia" w:ascii="宋体" w:hAnsi="宋体"/>
                <w:bCs/>
              </w:rPr>
              <w:t>ord2010使用</w:t>
            </w:r>
          </w:p>
          <w:p>
            <w:pPr>
              <w:pStyle w:val="99"/>
              <w:framePr w:hSpace="0" w:wrap="auto" w:vAnchor="margin" w:hAnchor="text" w:xAlign="left" w:yAlign="inline"/>
              <w:rPr>
                <w:rFonts w:ascii="宋体" w:hAnsi="宋体"/>
                <w:bCs/>
              </w:rPr>
            </w:pPr>
            <w:r>
              <w:rPr>
                <w:rFonts w:hint="eastAsia" w:ascii="宋体" w:hAnsi="宋体"/>
                <w:bCs/>
              </w:rPr>
              <w:t>（4）电子表格软件Excel2010的使用</w:t>
            </w:r>
          </w:p>
          <w:p>
            <w:pPr>
              <w:pStyle w:val="99"/>
              <w:framePr w:hSpace="0" w:wrap="auto" w:vAnchor="margin" w:hAnchor="text" w:xAlign="left" w:yAlign="inline"/>
              <w:rPr>
                <w:rFonts w:ascii="宋体" w:hAnsi="宋体"/>
                <w:bCs/>
              </w:rPr>
            </w:pPr>
            <w:r>
              <w:rPr>
                <w:rFonts w:hint="eastAsia" w:ascii="宋体" w:hAnsi="宋体"/>
                <w:bCs/>
              </w:rPr>
              <w:t>（5）幻灯片制作软件Power point2010的操作</w:t>
            </w:r>
          </w:p>
          <w:p>
            <w:pPr>
              <w:pStyle w:val="99"/>
              <w:framePr w:hSpace="0" w:wrap="auto" w:vAnchor="margin" w:hAnchor="text" w:xAlign="left" w:yAlign="inline"/>
              <w:rPr>
                <w:rFonts w:ascii="宋体" w:hAnsi="宋体"/>
                <w:bCs/>
              </w:rPr>
            </w:pPr>
            <w:r>
              <w:rPr>
                <w:rFonts w:hint="eastAsia" w:ascii="宋体" w:hAnsi="宋体"/>
                <w:bCs/>
              </w:rPr>
              <w:t>（6）计算机的网络及安全处理</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6</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大学英语</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（1）用于日常交际及一般涉外业务的基本词汇；</w:t>
            </w:r>
          </w:p>
          <w:p>
            <w:pPr>
              <w:pStyle w:val="99"/>
              <w:framePr w:hSpace="0" w:wrap="auto" w:vAnchor="margin" w:hAnchor="text" w:xAlign="left" w:yAlign="inline"/>
              <w:rPr>
                <w:rFonts w:ascii="宋体" w:hAnsi="宋体"/>
              </w:rPr>
            </w:pPr>
            <w:r>
              <w:rPr>
                <w:rFonts w:hint="eastAsia" w:ascii="宋体" w:hAnsi="宋体"/>
              </w:rPr>
              <w:t>（2）语法基础知识；</w:t>
            </w:r>
          </w:p>
          <w:p>
            <w:pPr>
              <w:pStyle w:val="99"/>
              <w:framePr w:hSpace="0" w:wrap="auto" w:vAnchor="margin" w:hAnchor="text" w:xAlign="left" w:yAlign="inline"/>
              <w:rPr>
                <w:rFonts w:ascii="宋体" w:hAnsi="宋体"/>
              </w:rPr>
            </w:pPr>
            <w:r>
              <w:rPr>
                <w:rFonts w:hint="eastAsia" w:ascii="宋体" w:hAnsi="宋体"/>
              </w:rPr>
              <w:t>（3）语用知识；</w:t>
            </w:r>
          </w:p>
          <w:p>
            <w:pPr>
              <w:pStyle w:val="99"/>
              <w:framePr w:hSpace="0" w:wrap="auto" w:vAnchor="margin" w:hAnchor="text" w:xAlign="left" w:yAlign="inline"/>
              <w:rPr>
                <w:rFonts w:ascii="宋体" w:hAnsi="宋体"/>
              </w:rPr>
            </w:pPr>
            <w:r>
              <w:rPr>
                <w:rFonts w:hint="eastAsia" w:ascii="宋体" w:hAnsi="宋体"/>
              </w:rPr>
              <w:t>（4）中外优秀文化知识通过本门课程的学习</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pStyle w:val="99"/>
              <w:framePr w:hSpace="0" w:wrap="auto" w:vAnchor="margin" w:hAnchor="text" w:xAlign="left" w:yAlign="inlin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7</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体育与健康</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cs="仿宋"/>
              </w:rPr>
            </w:pPr>
            <w:r>
              <w:rPr>
                <w:rFonts w:hint="eastAsia" w:ascii="宋体" w:hAnsi="宋体" w:cs="仿宋"/>
              </w:rPr>
              <w:t>（1）坚持以“健康第一”的思想为导向，培养学生自主体育意识和体育行为为目标</w:t>
            </w:r>
          </w:p>
          <w:p>
            <w:pPr>
              <w:pStyle w:val="99"/>
              <w:framePr w:hSpace="0" w:wrap="auto" w:vAnchor="margin" w:hAnchor="text" w:xAlign="left" w:yAlign="inline"/>
              <w:rPr>
                <w:rFonts w:ascii="宋体" w:hAnsi="宋体" w:cs="仿宋"/>
              </w:rPr>
            </w:pPr>
            <w:r>
              <w:rPr>
                <w:rFonts w:ascii="宋体" w:hAnsi="宋体" w:cs="仿宋"/>
              </w:rPr>
              <w:t>（2）</w:t>
            </w:r>
            <w:r>
              <w:rPr>
                <w:rFonts w:hint="eastAsia" w:ascii="宋体" w:hAnsi="宋体" w:cs="仿宋"/>
              </w:rPr>
              <w:t>使学生熟练掌握1-2项以上体育健身的手段和方法，树立终身体育的思想，成为中国传统体育的传播者和社会体育的积极参加者</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田径</w:t>
            </w:r>
          </w:p>
          <w:p>
            <w:pPr>
              <w:pStyle w:val="99"/>
              <w:framePr w:hSpace="0" w:wrap="auto" w:vAnchor="margin" w:hAnchor="text" w:xAlign="left" w:yAlign="inline"/>
              <w:rPr>
                <w:rFonts w:ascii="宋体" w:hAnsi="宋体"/>
              </w:rPr>
            </w:pPr>
            <w:r>
              <w:rPr>
                <w:rFonts w:hint="eastAsia" w:ascii="宋体" w:hAnsi="宋体"/>
              </w:rPr>
              <w:t>篮球</w:t>
            </w:r>
          </w:p>
          <w:p>
            <w:pPr>
              <w:pStyle w:val="99"/>
              <w:framePr w:hSpace="0" w:wrap="auto" w:vAnchor="margin" w:hAnchor="text" w:xAlign="left" w:yAlign="inline"/>
              <w:rPr>
                <w:rFonts w:ascii="宋体" w:hAnsi="宋体"/>
              </w:rPr>
            </w:pPr>
            <w:r>
              <w:rPr>
                <w:rFonts w:hint="eastAsia" w:ascii="宋体" w:hAnsi="宋体"/>
              </w:rPr>
              <w:t>武术</w:t>
            </w:r>
          </w:p>
          <w:p>
            <w:pPr>
              <w:pStyle w:val="99"/>
              <w:framePr w:hSpace="0" w:wrap="auto" w:vAnchor="margin" w:hAnchor="text" w:xAlign="left" w:yAlign="inline"/>
              <w:rPr>
                <w:rFonts w:ascii="宋体" w:hAnsi="宋体"/>
              </w:rPr>
            </w:pPr>
            <w:r>
              <w:rPr>
                <w:rFonts w:hint="eastAsia" w:ascii="宋体" w:hAnsi="宋体"/>
              </w:rPr>
              <w:t>体育舞蹈</w:t>
            </w:r>
          </w:p>
          <w:p>
            <w:pPr>
              <w:pStyle w:val="99"/>
              <w:framePr w:hSpace="0" w:wrap="auto" w:vAnchor="margin" w:hAnchor="text" w:xAlign="left" w:yAlign="inline"/>
              <w:rPr>
                <w:rFonts w:ascii="宋体" w:hAnsi="宋体"/>
              </w:rPr>
            </w:pPr>
            <w:r>
              <w:rPr>
                <w:rFonts w:hint="eastAsia" w:ascii="宋体" w:hAnsi="宋体"/>
              </w:rPr>
              <w:t>健身健美</w:t>
            </w:r>
          </w:p>
          <w:p>
            <w:pPr>
              <w:pStyle w:val="99"/>
              <w:framePr w:hSpace="0" w:wrap="auto" w:vAnchor="margin" w:hAnchor="text" w:xAlign="left" w:yAlign="inline"/>
              <w:rPr>
                <w:rFonts w:ascii="宋体" w:hAnsi="宋体"/>
              </w:rPr>
            </w:pPr>
            <w:r>
              <w:rPr>
                <w:rFonts w:hint="eastAsia" w:ascii="宋体" w:hAnsi="宋体"/>
              </w:rPr>
              <w:t>乒乓球</w:t>
            </w:r>
          </w:p>
          <w:p>
            <w:pPr>
              <w:pStyle w:val="99"/>
              <w:framePr w:hSpace="0" w:wrap="auto" w:vAnchor="margin" w:hAnchor="text" w:xAlign="left" w:yAlign="inline"/>
              <w:rPr>
                <w:rFonts w:ascii="宋体" w:hAnsi="宋体"/>
              </w:rPr>
            </w:pPr>
            <w:r>
              <w:rPr>
                <w:rFonts w:hint="eastAsia" w:ascii="宋体" w:hAnsi="宋体"/>
              </w:rPr>
              <w:t>足球</w:t>
            </w:r>
          </w:p>
          <w:p>
            <w:pPr>
              <w:pStyle w:val="99"/>
              <w:framePr w:hSpace="0" w:wrap="auto" w:vAnchor="margin" w:hAnchor="text" w:xAlign="left" w:yAlign="inline"/>
              <w:rPr>
                <w:rFonts w:ascii="宋体" w:hAnsi="宋体"/>
              </w:rPr>
            </w:pPr>
            <w:r>
              <w:rPr>
                <w:rFonts w:hint="eastAsia" w:ascii="宋体" w:hAnsi="宋体"/>
              </w:rPr>
              <w:t>排球</w:t>
            </w:r>
          </w:p>
          <w:p>
            <w:pPr>
              <w:pStyle w:val="99"/>
              <w:framePr w:hSpace="0" w:wrap="auto" w:vAnchor="margin" w:hAnchor="text" w:xAlign="left" w:yAlign="inline"/>
              <w:rPr>
                <w:rFonts w:ascii="宋体" w:hAnsi="宋体"/>
              </w:rPr>
            </w:pPr>
            <w:r>
              <w:rPr>
                <w:rFonts w:hint="eastAsia" w:ascii="宋体" w:hAnsi="宋体"/>
              </w:rPr>
              <w:t>羽毛球</w:t>
            </w:r>
          </w:p>
          <w:p>
            <w:pPr>
              <w:pStyle w:val="99"/>
              <w:framePr w:hSpace="0" w:wrap="auto" w:vAnchor="margin" w:hAnchor="text" w:xAlign="left" w:yAlign="inline"/>
              <w:rPr>
                <w:rFonts w:ascii="宋体" w:hAnsi="宋体"/>
              </w:rPr>
            </w:pPr>
            <w:r>
              <w:rPr>
                <w:rFonts w:hint="eastAsia" w:ascii="宋体" w:hAnsi="宋体"/>
              </w:rPr>
              <w:t>网球</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8</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大学生就业创业指导</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（1）就业形势与政策</w:t>
            </w:r>
          </w:p>
          <w:p>
            <w:pPr>
              <w:pStyle w:val="99"/>
              <w:framePr w:hSpace="0" w:wrap="auto" w:vAnchor="margin" w:hAnchor="text" w:xAlign="left" w:yAlign="inline"/>
              <w:rPr>
                <w:rFonts w:ascii="宋体" w:hAnsi="宋体"/>
              </w:rPr>
            </w:pPr>
            <w:r>
              <w:rPr>
                <w:rFonts w:hint="eastAsia" w:ascii="宋体" w:hAnsi="宋体"/>
              </w:rPr>
              <w:t>（2）就业前的准备</w:t>
            </w:r>
          </w:p>
          <w:p>
            <w:pPr>
              <w:pStyle w:val="99"/>
              <w:framePr w:hSpace="0" w:wrap="auto" w:vAnchor="margin" w:hAnchor="text" w:xAlign="left" w:yAlign="inline"/>
              <w:rPr>
                <w:rFonts w:ascii="宋体" w:hAnsi="宋体"/>
              </w:rPr>
            </w:pPr>
            <w:r>
              <w:rPr>
                <w:rFonts w:hint="eastAsia" w:ascii="宋体" w:hAnsi="宋体"/>
              </w:rPr>
              <w:t>（3）求职与面试</w:t>
            </w:r>
          </w:p>
          <w:p>
            <w:pPr>
              <w:pStyle w:val="99"/>
              <w:framePr w:hSpace="0" w:wrap="auto" w:vAnchor="margin" w:hAnchor="text" w:xAlign="left" w:yAlign="inline"/>
              <w:rPr>
                <w:rFonts w:ascii="宋体" w:hAnsi="宋体"/>
              </w:rPr>
            </w:pPr>
            <w:r>
              <w:rPr>
                <w:rFonts w:hint="eastAsia" w:ascii="宋体" w:hAnsi="宋体"/>
              </w:rPr>
              <w:t>（4）就业法律保护</w:t>
            </w:r>
          </w:p>
          <w:p>
            <w:pPr>
              <w:pStyle w:val="99"/>
              <w:framePr w:hSpace="0" w:wrap="auto" w:vAnchor="margin" w:hAnchor="text" w:xAlign="left" w:yAlign="inline"/>
              <w:rPr>
                <w:rFonts w:ascii="宋体" w:hAnsi="宋体"/>
              </w:rPr>
            </w:pPr>
            <w:r>
              <w:rPr>
                <w:rFonts w:hint="eastAsia" w:ascii="宋体" w:hAnsi="宋体"/>
              </w:rPr>
              <w:t>（5）入职与发展</w:t>
            </w:r>
          </w:p>
          <w:p>
            <w:pPr>
              <w:pStyle w:val="99"/>
              <w:framePr w:hSpace="0" w:wrap="auto" w:vAnchor="margin" w:hAnchor="text" w:xAlign="left" w:yAlign="inline"/>
              <w:rPr>
                <w:rFonts w:ascii="宋体" w:hAnsi="宋体"/>
              </w:rPr>
            </w:pPr>
            <w:r>
              <w:rPr>
                <w:rFonts w:hint="eastAsia" w:ascii="宋体" w:hAnsi="宋体"/>
              </w:rPr>
              <w:t>（6）创新创业教育</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9</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心理健康教育</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以“健康”为依据的大学生心理健康维持性目标；以“成长”为核心的大学生心理发展性目标；以“幸福”为目的的大学生心理素质指导性目标；以“成才”为要旨的大学生心理引导性目标</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（1）心理健康维护</w:t>
            </w:r>
          </w:p>
          <w:p>
            <w:pPr>
              <w:pStyle w:val="99"/>
              <w:framePr w:hSpace="0" w:wrap="auto" w:vAnchor="margin" w:hAnchor="text" w:xAlign="left" w:yAlign="inline"/>
              <w:rPr>
                <w:rFonts w:ascii="宋体" w:hAnsi="宋体"/>
              </w:rPr>
            </w:pPr>
            <w:r>
              <w:rPr>
                <w:rFonts w:hint="eastAsia" w:ascii="宋体" w:hAnsi="宋体"/>
              </w:rPr>
              <w:t>（2）心理发展成熟</w:t>
            </w:r>
          </w:p>
          <w:p>
            <w:pPr>
              <w:pStyle w:val="99"/>
              <w:framePr w:hSpace="0" w:wrap="auto" w:vAnchor="margin" w:hAnchor="text" w:xAlign="left" w:yAlign="inline"/>
              <w:rPr>
                <w:rFonts w:ascii="宋体" w:hAnsi="宋体"/>
              </w:rPr>
            </w:pPr>
            <w:r>
              <w:rPr>
                <w:rFonts w:hint="eastAsia" w:ascii="宋体" w:hAnsi="宋体"/>
              </w:rPr>
              <w:t>（3）心理素质培养</w:t>
            </w:r>
          </w:p>
          <w:p>
            <w:pPr>
              <w:pStyle w:val="99"/>
              <w:framePr w:hSpace="0" w:wrap="auto" w:vAnchor="margin" w:hAnchor="text" w:xAlign="left" w:yAlign="inline"/>
              <w:rPr>
                <w:rFonts w:ascii="宋体" w:hAnsi="宋体"/>
              </w:rPr>
            </w:pPr>
            <w:r>
              <w:rPr>
                <w:rFonts w:hint="eastAsia" w:ascii="宋体" w:hAnsi="宋体"/>
              </w:rPr>
              <w:t>（4）积极人格铸造</w:t>
            </w:r>
          </w:p>
          <w:p>
            <w:pPr>
              <w:pStyle w:val="99"/>
              <w:framePr w:hSpace="0" w:wrap="auto" w:vAnchor="margin" w:hAnchor="text" w:xAlign="left" w:yAlign="inline"/>
              <w:rPr>
                <w:rFonts w:ascii="宋体" w:hAnsi="宋体"/>
              </w:rPr>
            </w:pPr>
            <w:r>
              <w:rPr>
                <w:rFonts w:hint="eastAsia" w:ascii="宋体" w:hAnsi="宋体"/>
              </w:rPr>
              <w:t>（5）大学生心理素质</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10</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中华传统文化</w:t>
            </w:r>
          </w:p>
        </w:tc>
        <w:tc>
          <w:tcPr>
            <w:tcW w:w="1215" w:type="pct"/>
            <w:tcBorders>
              <w:top w:val="single" w:color="auto" w:sz="4" w:space="0"/>
              <w:left w:val="single" w:color="auto" w:sz="4" w:space="0"/>
              <w:bottom w:val="single" w:color="auto" w:sz="4" w:space="0"/>
              <w:right w:val="single" w:color="auto" w:sz="4" w:space="0"/>
            </w:tcBorders>
          </w:tcPr>
          <w:p>
            <w:pPr>
              <w:pStyle w:val="99"/>
              <w:framePr w:hSpace="0" w:wrap="auto" w:vAnchor="margin" w:hAnchor="text" w:xAlign="left" w:yAlign="inline"/>
              <w:rPr>
                <w:rFonts w:ascii="宋体" w:hAnsi="宋体"/>
              </w:rPr>
            </w:pPr>
            <w:r>
              <w:rPr>
                <w:rFonts w:hint="eastAsia" w:ascii="宋体" w:hAnsi="宋体"/>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1358" w:type="pct"/>
            <w:tcBorders>
              <w:top w:val="single" w:color="auto" w:sz="4" w:space="0"/>
              <w:left w:val="single" w:color="auto" w:sz="4" w:space="0"/>
              <w:bottom w:val="single" w:color="auto" w:sz="4" w:space="0"/>
              <w:right w:val="single" w:color="auto" w:sz="4" w:space="0"/>
            </w:tcBorders>
          </w:tcPr>
          <w:p>
            <w:pPr>
              <w:pStyle w:val="99"/>
              <w:framePr w:hSpace="0" w:wrap="auto" w:vAnchor="margin" w:hAnchor="text" w:xAlign="left" w:yAlign="inline"/>
              <w:rPr>
                <w:rFonts w:ascii="宋体" w:hAnsi="宋体"/>
              </w:rPr>
            </w:pPr>
            <w:r>
              <w:rPr>
                <w:rFonts w:hint="eastAsia" w:ascii="宋体" w:hAnsi="宋体"/>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164" w:type="pct"/>
            <w:tcBorders>
              <w:top w:val="single" w:color="auto" w:sz="4" w:space="0"/>
              <w:left w:val="single" w:color="auto" w:sz="4" w:space="0"/>
              <w:bottom w:val="single" w:color="auto" w:sz="4" w:space="0"/>
              <w:right w:val="single" w:color="auto" w:sz="4" w:space="0"/>
            </w:tcBorders>
          </w:tcPr>
          <w:p>
            <w:pPr>
              <w:pStyle w:val="99"/>
              <w:framePr w:hSpace="0" w:wrap="auto" w:vAnchor="margin" w:hAnchor="text" w:xAlign="left" w:yAlign="inline"/>
              <w:rPr>
                <w:rFonts w:ascii="宋体" w:hAnsi="宋体"/>
              </w:rPr>
            </w:pPr>
            <w:r>
              <w:rPr>
                <w:rFonts w:hint="eastAsia" w:ascii="宋体" w:hAnsi="宋体"/>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11</w:t>
            </w:r>
          </w:p>
        </w:tc>
        <w:tc>
          <w:tcPr>
            <w:tcW w:w="357" w:type="pct"/>
            <w:vMerge w:val="continue"/>
            <w:tcBorders>
              <w:left w:val="single" w:color="auto" w:sz="4" w:space="0"/>
              <w:right w:val="single" w:color="auto" w:sz="4" w:space="0"/>
            </w:tcBorders>
            <w:vAlign w:val="center"/>
          </w:tcPr>
          <w:p>
            <w:pPr>
              <w:pStyle w:val="99"/>
              <w:framePr w:hSpace="0" w:wrap="auto" w:vAnchor="margin" w:hAnchor="text" w:xAlign="left" w:yAlign="inline"/>
              <w:rPr>
                <w:rFonts w:ascii="宋体" w:hAnsi="宋体"/>
              </w:rPr>
            </w:pPr>
          </w:p>
        </w:tc>
        <w:tc>
          <w:tcPr>
            <w:tcW w:w="62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hint="eastAsia" w:ascii="宋体" w:hAnsi="宋体"/>
              </w:rPr>
              <w:t>劳动教育</w:t>
            </w:r>
          </w:p>
        </w:tc>
        <w:tc>
          <w:tcPr>
            <w:tcW w:w="121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ascii="宋体" w:hAnsi="宋体"/>
              </w:rPr>
              <w:t>（1）树立正确的劳动观念。</w:t>
            </w:r>
          </w:p>
          <w:p>
            <w:pPr>
              <w:pStyle w:val="99"/>
              <w:framePr w:hSpace="0" w:wrap="auto" w:vAnchor="margin" w:hAnchor="text" w:xAlign="left" w:yAlign="inline"/>
              <w:rPr>
                <w:rFonts w:ascii="宋体" w:hAnsi="宋体"/>
              </w:rPr>
            </w:pPr>
            <w:r>
              <w:rPr>
                <w:rFonts w:ascii="宋体" w:hAnsi="宋体"/>
              </w:rPr>
              <w:t>（2）具有必备的劳动能力。</w:t>
            </w:r>
          </w:p>
          <w:p>
            <w:pPr>
              <w:pStyle w:val="99"/>
              <w:framePr w:hSpace="0" w:wrap="auto" w:vAnchor="margin" w:hAnchor="text" w:xAlign="left" w:yAlign="inline"/>
              <w:rPr>
                <w:rFonts w:ascii="宋体" w:hAnsi="宋体"/>
              </w:rPr>
            </w:pPr>
            <w:r>
              <w:rPr>
                <w:rFonts w:ascii="宋体" w:hAnsi="宋体"/>
              </w:rPr>
              <w:t>（3）培育积极的劳动精神。</w:t>
            </w:r>
          </w:p>
          <w:p>
            <w:pPr>
              <w:pStyle w:val="99"/>
              <w:framePr w:hSpace="0" w:wrap="auto" w:vAnchor="margin" w:hAnchor="text" w:xAlign="left" w:yAlign="inline"/>
              <w:rPr>
                <w:rFonts w:ascii="宋体" w:hAnsi="宋体"/>
              </w:rPr>
            </w:pPr>
            <w:r>
              <w:rPr>
                <w:rFonts w:ascii="宋体" w:hAnsi="宋体"/>
              </w:rPr>
              <w:t>（4）养成良好的劳动习惯和品质。</w:t>
            </w:r>
          </w:p>
        </w:tc>
        <w:tc>
          <w:tcPr>
            <w:tcW w:w="1358"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ascii="宋体" w:hAnsi="宋体"/>
              </w:rPr>
              <w:t>主要包括日常生活劳动、生产劳动和服务性劳动中的知识、技能与价值观。</w:t>
            </w:r>
          </w:p>
        </w:tc>
        <w:tc>
          <w:tcPr>
            <w:tcW w:w="1164"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rPr>
                <w:rFonts w:ascii="宋体" w:hAnsi="宋体"/>
              </w:rPr>
            </w:pPr>
            <w:r>
              <w:rPr>
                <w:rFonts w:ascii="宋体" w:hAnsi="宋体"/>
              </w:rPr>
              <w:t>（1）持续开展日常生活劳动，自我管理生活，提高劳动自立自强的意识和能力；（2）定期开展校内外公益服务性劳动，培育社会公德，厚植爱国爱民的情怀；（3）依托实习实训，参与真实的生产劳动和服务性劳动。</w:t>
            </w:r>
          </w:p>
          <w:p>
            <w:pPr>
              <w:pStyle w:val="99"/>
              <w:framePr w:hSpace="0" w:wrap="auto" w:vAnchor="margin" w:hAnchor="text" w:xAlign="left" w:yAlign="inline"/>
              <w:rPr>
                <w:rFonts w:ascii="宋体" w:hAnsi="宋体"/>
              </w:rPr>
            </w:pPr>
          </w:p>
        </w:tc>
      </w:tr>
    </w:tbl>
    <w:p>
      <w:pPr>
        <w:pStyle w:val="89"/>
      </w:pPr>
      <w:bookmarkStart w:id="111" w:name="_Toc46303716"/>
      <w:r>
        <w:rPr>
          <w:rFonts w:hint="eastAsia"/>
        </w:rPr>
        <w:t>表4</w:t>
      </w:r>
      <w:r>
        <w:t xml:space="preserve">  </w:t>
      </w:r>
      <w:r>
        <w:rPr>
          <w:rFonts w:hint="eastAsia"/>
        </w:rPr>
        <w:t>专业课程体系</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670"/>
        <w:gridCol w:w="1168"/>
        <w:gridCol w:w="2277"/>
        <w:gridCol w:w="17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b/>
              </w:rPr>
            </w:pPr>
            <w:r>
              <w:rPr>
                <w:b/>
              </w:rPr>
              <w:t>序号</w:t>
            </w:r>
          </w:p>
        </w:tc>
        <w:tc>
          <w:tcPr>
            <w:tcW w:w="393"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b/>
              </w:rPr>
            </w:pPr>
            <w:r>
              <w:rPr>
                <w:b/>
              </w:rPr>
              <w:t>课程性质</w:t>
            </w:r>
          </w:p>
        </w:tc>
        <w:tc>
          <w:tcPr>
            <w:tcW w:w="68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b/>
              </w:rPr>
            </w:pPr>
            <w:r>
              <w:rPr>
                <w:b/>
              </w:rPr>
              <w:t>课程名称</w:t>
            </w:r>
          </w:p>
        </w:tc>
        <w:tc>
          <w:tcPr>
            <w:tcW w:w="133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b/>
              </w:rPr>
            </w:pPr>
            <w:r>
              <w:rPr>
                <w:b/>
              </w:rPr>
              <w:t>课程目标</w:t>
            </w:r>
          </w:p>
        </w:tc>
        <w:tc>
          <w:tcPr>
            <w:tcW w:w="102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b/>
              </w:rPr>
            </w:pPr>
            <w:r>
              <w:rPr>
                <w:b/>
              </w:rPr>
              <w:t>主要内容</w:t>
            </w:r>
          </w:p>
        </w:tc>
        <w:tc>
          <w:tcPr>
            <w:tcW w:w="125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jc w:val="center"/>
              <w:rPr>
                <w:b/>
              </w:rPr>
            </w:pPr>
            <w:r>
              <w:rPr>
                <w:b/>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393" w:type="pct"/>
            <w:vMerge w:val="restar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专业</w:t>
            </w:r>
          </w:p>
          <w:p>
            <w:pPr>
              <w:pStyle w:val="99"/>
              <w:framePr w:hSpace="0" w:wrap="auto" w:vAnchor="margin" w:hAnchor="text" w:xAlign="left" w:yAlign="inline"/>
            </w:pPr>
            <w:r>
              <w:t>基础</w:t>
            </w:r>
          </w:p>
          <w:p>
            <w:pPr>
              <w:pStyle w:val="99"/>
              <w:framePr w:hSpace="0" w:wrap="auto" w:vAnchor="margin" w:hAnchor="text" w:xAlign="left" w:yAlign="inline"/>
            </w:pPr>
            <w:r>
              <w:t>课程</w:t>
            </w:r>
          </w:p>
        </w:tc>
        <w:tc>
          <w:tcPr>
            <w:tcW w:w="68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计算机网络技术</w:t>
            </w:r>
          </w:p>
        </w:tc>
        <w:tc>
          <w:tcPr>
            <w:tcW w:w="133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1普及学生的计算机网络基础知识，</w:t>
            </w:r>
          </w:p>
          <w:p>
            <w:pPr>
              <w:pStyle w:val="99"/>
              <w:framePr w:hSpace="0" w:wrap="auto" w:vAnchor="margin" w:hAnchor="text" w:xAlign="left" w:yAlign="inline"/>
            </w:pPr>
            <w:r>
              <w:t>2为其他相关课程的学习打下基础，</w:t>
            </w:r>
          </w:p>
          <w:p>
            <w:pPr>
              <w:pStyle w:val="99"/>
              <w:framePr w:hSpace="0" w:wrap="auto" w:vAnchor="margin" w:hAnchor="text" w:xAlign="left" w:yAlign="inline"/>
            </w:pPr>
            <w:r>
              <w:t>3学会计算机网络领域的相关技术</w:t>
            </w:r>
          </w:p>
        </w:tc>
        <w:tc>
          <w:tcPr>
            <w:tcW w:w="102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组网的基本技能，掌握各种网络设备的安装、配置、调试以及进行网络管理、维护</w:t>
            </w:r>
          </w:p>
          <w:p>
            <w:pPr>
              <w:pStyle w:val="99"/>
              <w:framePr w:hSpace="0" w:wrap="auto" w:vAnchor="margin" w:hAnchor="text" w:xAlign="left" w:yAlign="inline"/>
            </w:pPr>
            <w:r>
              <w:t>2常用网络操作系统之上的各种网络应用的配置等</w:t>
            </w:r>
          </w:p>
        </w:tc>
        <w:tc>
          <w:tcPr>
            <w:tcW w:w="125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1了解计算机网络各逻辑层的功能和工作原理；对应用广泛的局域网技术，重点掌握以太网技术 。</w:t>
            </w:r>
          </w:p>
          <w:p>
            <w:pPr>
              <w:pStyle w:val="99"/>
              <w:framePr w:hSpace="0" w:wrap="auto" w:vAnchor="margin" w:hAnchor="text" w:xAlign="left" w:yAlign="inline"/>
            </w:pPr>
            <w:r>
              <w:t>2从硬件和软件两方面，全面掌握网络互连的基本原理和技术</w:t>
            </w:r>
          </w:p>
          <w:p>
            <w:pPr>
              <w:pStyle w:val="99"/>
              <w:framePr w:hSpace="0" w:wrap="auto" w:vAnchor="margin" w:hAnchor="text" w:xAlign="left" w:yAlign="inline"/>
            </w:pPr>
            <w:r>
              <w:t>3掌握 Internet 的各种信息服务，和基本的网络管理与网络安全知识。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数据库应用基础</w:t>
            </w:r>
          </w:p>
        </w:tc>
        <w:tc>
          <w:tcPr>
            <w:tcW w:w="133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达到理论与实际应用相结合，使同学们能够根据数据对象的特性，学会数据组织的方法，能把现实世界中的实际问题在计算机内部表示出来，并培养基本的、良好的设计技能。</w:t>
            </w:r>
          </w:p>
        </w:tc>
        <w:tc>
          <w:tcPr>
            <w:tcW w:w="102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数据结构的逻辑结构和存储结构</w:t>
            </w:r>
          </w:p>
          <w:p>
            <w:pPr>
              <w:pStyle w:val="99"/>
              <w:framePr w:hSpace="0" w:wrap="auto" w:vAnchor="margin" w:hAnchor="text" w:xAlign="left" w:yAlign="inline"/>
            </w:pPr>
            <w:r>
              <w:t>线性结构的特点及存储方式，能结合实际问题恰当运用树型结构的特点及存储方式，能结合实际问题恰当运用</w:t>
            </w:r>
          </w:p>
          <w:p>
            <w:pPr>
              <w:pStyle w:val="99"/>
              <w:framePr w:hSpace="0" w:wrap="auto" w:vAnchor="margin" w:hAnchor="text" w:xAlign="left" w:yAlign="inline"/>
            </w:pPr>
            <w:r>
              <w:t>图型结构的特点及存储方式，能结合实际问题恰当运用；能依据数据序列特点，选定高效的查找方法，并熟练地评价算法优劣；能依据数据序列特点，选定高效排序的方法，并熟练地评价算法优劣。</w:t>
            </w:r>
          </w:p>
        </w:tc>
        <w:tc>
          <w:tcPr>
            <w:tcW w:w="125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培养学生善于收集信息和良好的自学能力；培养学生理论联系实际，善于发现问题并积极寻求解决问题方法的能力。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Python程序设计</w:t>
            </w:r>
          </w:p>
        </w:tc>
        <w:tc>
          <w:tcPr>
            <w:tcW w:w="133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1掌握Python程序设计语言的基本知识和使用 Python语言进行软件开发的思想和基本方法，进而掌握程序设计的基本步骤和通用方法，</w:t>
            </w:r>
          </w:p>
          <w:p>
            <w:pPr>
              <w:pStyle w:val="99"/>
              <w:framePr w:hSpace="0" w:wrap="auto" w:vAnchor="margin" w:hAnchor="text" w:xAlign="left" w:yAlign="inline"/>
            </w:pPr>
            <w:r>
              <w:t>2提高通过编写程序解决实际问题的能力，为今后进一步使用数据采集和分析等大数据及人工智 能方面的运用打好基础</w:t>
            </w:r>
          </w:p>
        </w:tc>
        <w:tc>
          <w:tcPr>
            <w:tcW w:w="102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1.Python语言特点</w:t>
            </w:r>
          </w:p>
          <w:p>
            <w:pPr>
              <w:pStyle w:val="99"/>
              <w:framePr w:hSpace="0" w:wrap="auto" w:vAnchor="margin" w:hAnchor="text" w:xAlign="left" w:yAlign="inline"/>
            </w:pPr>
            <w:r>
              <w:t>2. python编程基础知识</w:t>
            </w:r>
          </w:p>
          <w:p>
            <w:pPr>
              <w:pStyle w:val="99"/>
              <w:framePr w:hSpace="0" w:wrap="auto" w:vAnchor="margin" w:hAnchor="text" w:xAlign="left" w:yAlign="inline"/>
            </w:pPr>
            <w:r>
              <w:t>3.选择结构程序设计方法、循环结构程序设计</w:t>
            </w:r>
          </w:p>
          <w:p>
            <w:pPr>
              <w:pStyle w:val="99"/>
              <w:framePr w:hSpace="0" w:wrap="auto" w:vAnchor="margin" w:hAnchor="text" w:xAlign="left" w:yAlign="inline"/>
            </w:pPr>
            <w:r>
              <w:t>4. Python函数函数、正则表达式</w:t>
            </w:r>
          </w:p>
          <w:p>
            <w:pPr>
              <w:pStyle w:val="99"/>
              <w:framePr w:hSpace="0" w:wrap="auto" w:vAnchor="margin" w:hAnchor="text" w:xAlign="left" w:yAlign="inline"/>
            </w:pPr>
            <w:r>
              <w:t>5.字典中列表、元组与字典之间的转换</w:t>
            </w:r>
          </w:p>
          <w:p>
            <w:pPr>
              <w:pStyle w:val="99"/>
              <w:framePr w:hSpace="0" w:wrap="auto" w:vAnchor="margin" w:hAnchor="text" w:xAlign="left" w:yAlign="inline"/>
            </w:pPr>
            <w:r>
              <w:t>6. Python的异常处理掌握捕获与处理异常的方法</w:t>
            </w:r>
          </w:p>
          <w:p>
            <w:pPr>
              <w:pStyle w:val="99"/>
              <w:framePr w:hSpace="0" w:wrap="auto" w:vAnchor="margin" w:hAnchor="text" w:xAlign="left" w:yAlign="inline"/>
            </w:pPr>
            <w:r>
              <w:t>7.文件读写方法以及掌握文件对话框构建方法</w:t>
            </w:r>
          </w:p>
          <w:p>
            <w:pPr>
              <w:pStyle w:val="99"/>
              <w:framePr w:hSpace="0" w:wrap="auto" w:vAnchor="margin" w:hAnchor="text" w:xAlign="left" w:yAlign="inline"/>
            </w:pPr>
            <w:r>
              <w:t>8.面向对象程序设计</w:t>
            </w:r>
          </w:p>
        </w:tc>
        <w:tc>
          <w:tcPr>
            <w:tcW w:w="125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1理解Python的编程模式熟练运用Python运算符、内置函数以及列表、元组、字典、集合等基本数据类型和相关列表 推导式、切片等特性来解决实际问题，</w:t>
            </w:r>
          </w:p>
          <w:p>
            <w:pPr>
              <w:pStyle w:val="99"/>
              <w:framePr w:hSpace="0" w:wrap="auto" w:vAnchor="margin" w:hAnchor="text" w:xAlign="left" w:yAlign="inline"/>
            </w:pPr>
            <w:r>
              <w:t>2掌握Python分支结构、循环结构、函数设计以及类的设计与使用，熟练使用字符串方法，适当了解正则表达式，熟练使用Python读写文本文件，适当了解二进制文件操作，</w:t>
            </w:r>
          </w:p>
          <w:p>
            <w:pPr>
              <w:pStyle w:val="99"/>
              <w:framePr w:hSpace="0" w:wrap="auto" w:vAnchor="margin" w:hAnchor="text" w:xAlign="left" w:yAlign="inline"/>
            </w:pPr>
            <w:r>
              <w:t>3了解Python程序的调试方法，了解Python面向对象程序设计模式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Linux实用技术与安全管理</w:t>
            </w:r>
          </w:p>
        </w:tc>
        <w:tc>
          <w:tcPr>
            <w:tcW w:w="133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安装、卸载Linux操作系统并能熟练使用GNOME和KDE桌面环境，同时能熟练使用Linux操作系统的基本shell命令。</w:t>
            </w:r>
          </w:p>
          <w:p>
            <w:pPr>
              <w:pStyle w:val="99"/>
              <w:framePr w:hSpace="0" w:wrap="auto" w:vAnchor="margin" w:hAnchor="text" w:xAlign="left" w:yAlign="inline"/>
            </w:pPr>
            <w:r>
              <w:t>Linux下编程的基本知识、方法与步骤。</w:t>
            </w:r>
          </w:p>
          <w:p>
            <w:pPr>
              <w:pStyle w:val="99"/>
              <w:framePr w:hSpace="0" w:wrap="auto" w:vAnchor="margin" w:hAnchor="text" w:xAlign="left" w:yAlign="inline"/>
            </w:pPr>
            <w:r>
              <w:t>Linux文件系统的基本概念和基本组成，熟练配置Linux系统中的用户和组，能合理管理Linux系统的各种软硬件资源。</w:t>
            </w:r>
          </w:p>
        </w:tc>
        <w:tc>
          <w:tcPr>
            <w:tcW w:w="102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计算机的硬件配置；磁盘链接的方式与设备文件名的关系；磁盘的组成及分区表；安装前的主要规划</w:t>
            </w:r>
          </w:p>
          <w:p>
            <w:pPr>
              <w:pStyle w:val="99"/>
              <w:framePr w:hSpace="0" w:wrap="auto" w:vAnchor="margin" w:hAnchor="text" w:xAlign="left" w:yAlign="inline"/>
            </w:pPr>
            <w:r>
              <w:t>操作系统安装</w:t>
            </w:r>
          </w:p>
          <w:p>
            <w:pPr>
              <w:pStyle w:val="99"/>
              <w:framePr w:hSpace="0" w:wrap="auto" w:vAnchor="margin" w:hAnchor="text" w:xAlign="left" w:yAlign="inline"/>
            </w:pPr>
          </w:p>
        </w:tc>
        <w:tc>
          <w:tcPr>
            <w:tcW w:w="125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Linux 操作系统的安装、文件与目录命令的使用、用户与组群及权限的管理、磁盘管理、软件包管理、网络配置及安全防护。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实用英语与专业英语</w:t>
            </w:r>
          </w:p>
        </w:tc>
        <w:tc>
          <w:tcPr>
            <w:tcW w:w="133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计算机的专业知识，日常交际及一般涉外业务的基本词汇，专业英语的特点及语法结构特点；</w:t>
            </w:r>
          </w:p>
          <w:p>
            <w:pPr>
              <w:pStyle w:val="99"/>
              <w:framePr w:hSpace="0" w:wrap="auto" w:vAnchor="margin" w:hAnchor="text" w:xAlign="left" w:yAlign="inline"/>
            </w:pPr>
            <w:r>
              <w:t>阅读相关专业一般难度英文材料，了解基本的英语语法规则，并能运用所学的语法知识；</w:t>
            </w:r>
          </w:p>
          <w:p>
            <w:pPr>
              <w:pStyle w:val="99"/>
              <w:framePr w:hSpace="0" w:wrap="auto" w:vAnchor="margin" w:hAnchor="text" w:xAlign="left" w:yAlign="inline"/>
            </w:pPr>
            <w:r>
              <w:t>专业英语的翻译技巧，掌握涉及专业业务的结构简单的日常语言的翻译，通过知识教学的过程培养学生自学能力。</w:t>
            </w:r>
          </w:p>
        </w:tc>
        <w:tc>
          <w:tcPr>
            <w:tcW w:w="102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Computer Hardware</w:t>
            </w:r>
          </w:p>
          <w:p>
            <w:pPr>
              <w:pStyle w:val="99"/>
              <w:framePr w:hSpace="0" w:wrap="auto" w:vAnchor="margin" w:hAnchor="text" w:xAlign="left" w:yAlign="inline"/>
            </w:pPr>
            <w:r>
              <w:t>Computer Software</w:t>
            </w:r>
          </w:p>
          <w:p>
            <w:pPr>
              <w:pStyle w:val="99"/>
              <w:framePr w:hSpace="0" w:wrap="auto" w:vAnchor="margin" w:hAnchor="text" w:xAlign="left" w:yAlign="inline"/>
            </w:pPr>
            <w:r>
              <w:t>Computer Network</w:t>
            </w:r>
          </w:p>
          <w:p>
            <w:pPr>
              <w:pStyle w:val="99"/>
              <w:framePr w:hSpace="0" w:wrap="auto" w:vAnchor="margin" w:hAnchor="text" w:xAlign="left" w:yAlign="inline"/>
            </w:pPr>
            <w:r>
              <w:t>Computer Security</w:t>
            </w:r>
          </w:p>
          <w:p>
            <w:pPr>
              <w:pStyle w:val="99"/>
              <w:framePr w:hSpace="0" w:wrap="auto" w:vAnchor="margin" w:hAnchor="text" w:xAlign="left" w:yAlign="inline"/>
            </w:pPr>
            <w:r>
              <w:t>E-commerce</w:t>
            </w:r>
          </w:p>
          <w:p>
            <w:pPr>
              <w:pStyle w:val="99"/>
              <w:framePr w:hSpace="0" w:wrap="auto" w:vAnchor="margin" w:hAnchor="text" w:xAlign="left" w:yAlign="inline"/>
            </w:pPr>
            <w:r>
              <w:t>Multimedia</w:t>
            </w:r>
          </w:p>
          <w:p>
            <w:pPr>
              <w:pStyle w:val="99"/>
              <w:framePr w:hSpace="0" w:wrap="auto" w:vAnchor="margin" w:hAnchor="text" w:xAlign="left" w:yAlign="inline"/>
            </w:pPr>
          </w:p>
        </w:tc>
        <w:tc>
          <w:tcPr>
            <w:tcW w:w="125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注重基础知识的累积的同时又紧密结合专业及相关专业产品说明书实施教学，在动手中来实践和提高，倡导学生带着问题看资料的探究性学习，让学生在职业实践活动的基础上掌握知识，增强课程内容与职业能力要求的相关性，提高学生的就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pPr>
              <w:ind w:firstLine="420"/>
              <w:jc w:val="center"/>
            </w:pPr>
            <w:r>
              <w:rPr>
                <w:rFonts w:hint="eastAsia"/>
              </w:rPr>
              <w:t>Linux</w:t>
            </w:r>
          </w:p>
        </w:tc>
        <w:tc>
          <w:tcPr>
            <w:tcW w:w="1335" w:type="pct"/>
            <w:tcBorders>
              <w:top w:val="single" w:color="auto" w:sz="4" w:space="0"/>
              <w:left w:val="single" w:color="auto" w:sz="4" w:space="0"/>
              <w:bottom w:val="single" w:color="auto" w:sz="4" w:space="0"/>
              <w:right w:val="single" w:color="auto" w:sz="4" w:space="0"/>
            </w:tcBorders>
          </w:tcPr>
          <w:p>
            <w:pPr>
              <w:pStyle w:val="99"/>
              <w:framePr w:hSpace="0" w:wrap="auto" w:vAnchor="margin" w:hAnchor="text" w:xAlign="left" w:yAlign="inline"/>
            </w:pPr>
            <w:r>
              <w:t>1.</w:t>
            </w:r>
            <w:r>
              <w:rPr>
                <w:rFonts w:hint="eastAsia"/>
              </w:rPr>
              <w:t>对</w:t>
            </w:r>
            <w:r>
              <w:t>linux</w:t>
            </w:r>
            <w:r>
              <w:rPr>
                <w:rFonts w:hint="eastAsia"/>
              </w:rPr>
              <w:t>服务器的配置和管理有基本的了解</w:t>
            </w:r>
          </w:p>
          <w:p>
            <w:pPr>
              <w:pStyle w:val="99"/>
              <w:framePr w:hSpace="0" w:wrap="auto" w:vAnchor="margin" w:hAnchor="text" w:xAlign="left" w:yAlign="inline"/>
            </w:pPr>
            <w:r>
              <w:t>2.</w:t>
            </w:r>
            <w:r>
              <w:rPr>
                <w:rFonts w:hint="eastAsia"/>
              </w:rPr>
              <w:t>熟练掌握常用服务器配置技能，</w:t>
            </w:r>
          </w:p>
          <w:p>
            <w:pPr>
              <w:pStyle w:val="99"/>
              <w:framePr w:hSpace="0" w:wrap="auto" w:vAnchor="margin" w:hAnchor="text" w:xAlign="left" w:yAlign="inline"/>
            </w:pPr>
            <w:r>
              <w:t>3.</w:t>
            </w:r>
            <w:r>
              <w:rPr>
                <w:rFonts w:hint="eastAsia"/>
              </w:rPr>
              <w:t>能承担中小型企业的服务器管理工作任务。</w:t>
            </w:r>
          </w:p>
        </w:tc>
        <w:tc>
          <w:tcPr>
            <w:tcW w:w="1021" w:type="pct"/>
            <w:tcBorders>
              <w:top w:val="single" w:color="auto" w:sz="4" w:space="0"/>
              <w:left w:val="single" w:color="auto" w:sz="4" w:space="0"/>
              <w:bottom w:val="single" w:color="auto" w:sz="4" w:space="0"/>
              <w:right w:val="single" w:color="auto" w:sz="4" w:space="0"/>
            </w:tcBorders>
          </w:tcPr>
          <w:p>
            <w:pPr>
              <w:pStyle w:val="99"/>
              <w:framePr w:hSpace="0" w:wrap="auto" w:vAnchor="margin" w:hAnchor="text" w:xAlign="left" w:yAlign="inline"/>
            </w:pPr>
            <w:r>
              <w:t xml:space="preserve">Linux DHCP </w:t>
            </w:r>
            <w:r>
              <w:rPr>
                <w:rFonts w:hint="eastAsia"/>
              </w:rPr>
              <w:t>服务器的管理</w:t>
            </w:r>
          </w:p>
          <w:p>
            <w:pPr>
              <w:pStyle w:val="99"/>
              <w:framePr w:hSpace="0" w:wrap="auto" w:vAnchor="margin" w:hAnchor="text" w:xAlign="left" w:yAlign="inline"/>
            </w:pPr>
            <w:r>
              <w:t>Linux DNS</w:t>
            </w:r>
            <w:r>
              <w:rPr>
                <w:rFonts w:hint="eastAsia"/>
              </w:rPr>
              <w:t>服务器的管理</w:t>
            </w:r>
          </w:p>
          <w:p>
            <w:pPr>
              <w:pStyle w:val="99"/>
              <w:framePr w:hSpace="0" w:wrap="auto" w:vAnchor="margin" w:hAnchor="text" w:xAlign="left" w:yAlign="inline"/>
            </w:pPr>
            <w:r>
              <w:t>Linux WEB</w:t>
            </w:r>
            <w:r>
              <w:rPr>
                <w:rFonts w:hint="eastAsia"/>
              </w:rPr>
              <w:t>服务器的管理</w:t>
            </w:r>
          </w:p>
          <w:p>
            <w:pPr>
              <w:pStyle w:val="99"/>
              <w:framePr w:hSpace="0" w:wrap="auto" w:vAnchor="margin" w:hAnchor="text" w:xAlign="left" w:yAlign="inline"/>
            </w:pPr>
            <w:r>
              <w:t>Linux FTP</w:t>
            </w:r>
            <w:r>
              <w:rPr>
                <w:rFonts w:hint="eastAsia"/>
              </w:rPr>
              <w:t>服务器的管理</w:t>
            </w:r>
          </w:p>
          <w:p>
            <w:pPr>
              <w:pStyle w:val="99"/>
              <w:framePr w:hSpace="0" w:wrap="auto" w:vAnchor="margin" w:hAnchor="text" w:xAlign="left" w:yAlign="inline"/>
            </w:pPr>
            <w:r>
              <w:t>Linuxsamba</w:t>
            </w:r>
            <w:r>
              <w:rPr>
                <w:rFonts w:hint="eastAsia"/>
              </w:rPr>
              <w:t>服务器的管理</w:t>
            </w:r>
          </w:p>
          <w:p>
            <w:pPr>
              <w:pStyle w:val="99"/>
              <w:framePr w:hSpace="0" w:wrap="auto" w:vAnchor="margin" w:hAnchor="text" w:xAlign="left" w:yAlign="inline"/>
            </w:pPr>
            <w:r>
              <w:t xml:space="preserve">Linux sendmail </w:t>
            </w:r>
            <w:r>
              <w:rPr>
                <w:rFonts w:hint="eastAsia"/>
              </w:rPr>
              <w:t>服务器的管理</w:t>
            </w:r>
          </w:p>
          <w:p>
            <w:pPr>
              <w:pStyle w:val="99"/>
              <w:framePr w:hSpace="0" w:wrap="auto" w:vAnchor="margin" w:hAnchor="text" w:xAlign="left" w:yAlign="inline"/>
            </w:pPr>
            <w:r>
              <w:t xml:space="preserve">Linux iptables </w:t>
            </w:r>
            <w:r>
              <w:rPr>
                <w:rFonts w:hint="eastAsia"/>
              </w:rPr>
              <w:t>的使用</w:t>
            </w:r>
          </w:p>
          <w:p>
            <w:pPr>
              <w:pStyle w:val="99"/>
              <w:framePr w:hSpace="0" w:wrap="auto" w:vAnchor="margin" w:hAnchor="text" w:xAlign="left" w:yAlign="inline"/>
            </w:pPr>
            <w:r>
              <w:t>Linux</w:t>
            </w:r>
            <w:r>
              <w:rPr>
                <w:rFonts w:hint="eastAsia"/>
              </w:rPr>
              <w:t>远程管理</w:t>
            </w:r>
          </w:p>
          <w:p>
            <w:pPr>
              <w:pStyle w:val="99"/>
              <w:framePr w:hSpace="0" w:wrap="auto" w:vAnchor="margin" w:hAnchor="text" w:xAlign="left" w:yAlign="inline"/>
            </w:pPr>
          </w:p>
        </w:tc>
        <w:tc>
          <w:tcPr>
            <w:tcW w:w="1255" w:type="pct"/>
            <w:tcBorders>
              <w:top w:val="single" w:color="auto" w:sz="4" w:space="0"/>
              <w:left w:val="single" w:color="auto" w:sz="4" w:space="0"/>
              <w:bottom w:val="single" w:color="auto" w:sz="4" w:space="0"/>
              <w:right w:val="single" w:color="auto" w:sz="4" w:space="0"/>
            </w:tcBorders>
          </w:tcPr>
          <w:p>
            <w:pPr>
              <w:pStyle w:val="99"/>
              <w:framePr w:hSpace="0" w:wrap="auto" w:vAnchor="margin" w:hAnchor="text" w:xAlign="left" w:yAlign="inline"/>
            </w:pPr>
            <w:r>
              <w:rPr>
                <w:rFonts w:hint="eastAsia"/>
              </w:rPr>
              <w:t>养成良好的团队协作精神与较好的沟通能力；具有综合分析和解决问题的能力；养成良好的职业道德规范。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p>
        </w:tc>
        <w:tc>
          <w:tcPr>
            <w:tcW w:w="68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Linux服务器配置与管理</w:t>
            </w:r>
          </w:p>
        </w:tc>
        <w:tc>
          <w:tcPr>
            <w:tcW w:w="133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1.对linux服务器的配置和管理有基本的了解</w:t>
            </w:r>
          </w:p>
          <w:p>
            <w:pPr>
              <w:pStyle w:val="99"/>
              <w:framePr w:hSpace="0" w:wrap="auto" w:vAnchor="margin" w:hAnchor="text" w:xAlign="left" w:yAlign="inline"/>
            </w:pPr>
            <w:r>
              <w:t>2.熟练掌握常用服务器配置技能，</w:t>
            </w:r>
          </w:p>
          <w:p>
            <w:pPr>
              <w:pStyle w:val="99"/>
              <w:framePr w:hSpace="0" w:wrap="auto" w:vAnchor="margin" w:hAnchor="text" w:xAlign="left" w:yAlign="inline"/>
            </w:pPr>
            <w:r>
              <w:t>3.能承担中小型企业的服务器管理工作任务。</w:t>
            </w:r>
          </w:p>
        </w:tc>
        <w:tc>
          <w:tcPr>
            <w:tcW w:w="1021"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Linux DHCP 服务器的管理</w:t>
            </w:r>
          </w:p>
          <w:p>
            <w:pPr>
              <w:pStyle w:val="99"/>
              <w:framePr w:hSpace="0" w:wrap="auto" w:vAnchor="margin" w:hAnchor="text" w:xAlign="left" w:yAlign="inline"/>
            </w:pPr>
            <w:r>
              <w:t>Linux DNS服务器的管理</w:t>
            </w:r>
          </w:p>
          <w:p>
            <w:pPr>
              <w:pStyle w:val="99"/>
              <w:framePr w:hSpace="0" w:wrap="auto" w:vAnchor="margin" w:hAnchor="text" w:xAlign="left" w:yAlign="inline"/>
            </w:pPr>
            <w:r>
              <w:t>Linux WEB服务器的管理</w:t>
            </w:r>
          </w:p>
          <w:p>
            <w:pPr>
              <w:pStyle w:val="99"/>
              <w:framePr w:hSpace="0" w:wrap="auto" w:vAnchor="margin" w:hAnchor="text" w:xAlign="left" w:yAlign="inline"/>
            </w:pPr>
            <w:r>
              <w:t>Linux FTP服务器的管理</w:t>
            </w:r>
          </w:p>
          <w:p>
            <w:pPr>
              <w:pStyle w:val="99"/>
              <w:framePr w:hSpace="0" w:wrap="auto" w:vAnchor="margin" w:hAnchor="text" w:xAlign="left" w:yAlign="inline"/>
            </w:pPr>
            <w:r>
              <w:t>Linuxsamba服务器的管理</w:t>
            </w:r>
          </w:p>
          <w:p>
            <w:pPr>
              <w:pStyle w:val="99"/>
              <w:framePr w:hSpace="0" w:wrap="auto" w:vAnchor="margin" w:hAnchor="text" w:xAlign="left" w:yAlign="inline"/>
            </w:pPr>
            <w:r>
              <w:t>Linux sendmail 服务器的管理</w:t>
            </w:r>
          </w:p>
          <w:p>
            <w:pPr>
              <w:pStyle w:val="99"/>
              <w:framePr w:hSpace="0" w:wrap="auto" w:vAnchor="margin" w:hAnchor="text" w:xAlign="left" w:yAlign="inline"/>
            </w:pPr>
            <w:r>
              <w:t>Linux iptables 的使用</w:t>
            </w:r>
          </w:p>
          <w:p>
            <w:pPr>
              <w:pStyle w:val="99"/>
              <w:framePr w:hSpace="0" w:wrap="auto" w:vAnchor="margin" w:hAnchor="text" w:xAlign="left" w:yAlign="inline"/>
            </w:pPr>
            <w:r>
              <w:t>Linux远程管理</w:t>
            </w:r>
          </w:p>
          <w:p>
            <w:pPr>
              <w:pStyle w:val="99"/>
              <w:framePr w:hSpace="0" w:wrap="auto" w:vAnchor="margin" w:hAnchor="text" w:xAlign="left" w:yAlign="inline"/>
            </w:pPr>
            <w:r>
              <w:t>Linux磁盘阵列</w:t>
            </w:r>
          </w:p>
          <w:p>
            <w:pPr>
              <w:pStyle w:val="99"/>
              <w:framePr w:hSpace="0" w:wrap="auto" w:vAnchor="margin" w:hAnchor="text" w:xAlign="left" w:yAlign="inline"/>
            </w:pPr>
            <w:r>
              <w:t>综合服务器的配</w:t>
            </w:r>
          </w:p>
        </w:tc>
        <w:tc>
          <w:tcPr>
            <w:tcW w:w="1255" w:type="pct"/>
            <w:tcBorders>
              <w:top w:val="single" w:color="auto" w:sz="4" w:space="0"/>
              <w:left w:val="single" w:color="auto" w:sz="4" w:space="0"/>
              <w:bottom w:val="single" w:color="auto" w:sz="4" w:space="0"/>
              <w:right w:val="single" w:color="auto" w:sz="4" w:space="0"/>
            </w:tcBorders>
            <w:vAlign w:val="center"/>
          </w:tcPr>
          <w:p>
            <w:pPr>
              <w:pStyle w:val="99"/>
              <w:framePr w:hSpace="0" w:wrap="auto" w:vAnchor="margin" w:hAnchor="text" w:xAlign="left" w:yAlign="inline"/>
            </w:pPr>
            <w:r>
              <w:t>养成良好的团队协作精神与较好的沟通能力；具有综合分析和解决问题的能力；养成良好的职业道德规范。</w:t>
            </w:r>
          </w:p>
        </w:tc>
      </w:tr>
    </w:tbl>
    <w:p>
      <w:pPr>
        <w:pStyle w:val="90"/>
      </w:pPr>
      <w:bookmarkStart w:id="112" w:name="_Toc99219063"/>
      <w:bookmarkStart w:id="113" w:name="_Toc99220048"/>
      <w:bookmarkStart w:id="114" w:name="_Toc99220909"/>
      <w:bookmarkStart w:id="115" w:name="_Toc93520563"/>
      <w:bookmarkStart w:id="116" w:name="_Toc99222618"/>
      <w:r>
        <w:rPr>
          <w:rFonts w:hint="eastAsia"/>
        </w:rPr>
        <w:t>八、实践教学体系</w:t>
      </w:r>
      <w:bookmarkEnd w:id="103"/>
      <w:bookmarkEnd w:id="104"/>
      <w:bookmarkEnd w:id="105"/>
      <w:bookmarkEnd w:id="111"/>
      <w:bookmarkEnd w:id="112"/>
      <w:bookmarkEnd w:id="113"/>
      <w:bookmarkEnd w:id="114"/>
      <w:bookmarkEnd w:id="115"/>
      <w:bookmarkEnd w:id="116"/>
    </w:p>
    <w:p>
      <w:pPr>
        <w:pStyle w:val="92"/>
      </w:pPr>
      <w:bookmarkStart w:id="117" w:name="_Toc99222619"/>
      <w:bookmarkStart w:id="118" w:name="_Toc99219064"/>
      <w:bookmarkStart w:id="119" w:name="_Toc99220049"/>
      <w:bookmarkStart w:id="120" w:name="_Toc93520564"/>
      <w:bookmarkStart w:id="121" w:name="_Toc99220910"/>
      <w:r>
        <w:rPr>
          <w:rFonts w:hint="eastAsia"/>
        </w:rPr>
        <w:t>（一）内容架构</w:t>
      </w:r>
      <w:bookmarkEnd w:id="117"/>
      <w:bookmarkEnd w:id="118"/>
      <w:bookmarkEnd w:id="119"/>
      <w:bookmarkEnd w:id="120"/>
      <w:bookmarkEnd w:id="121"/>
    </w:p>
    <w:p>
      <w:pPr>
        <w:pStyle w:val="101"/>
        <w:ind w:firstLine="560"/>
        <w:rPr>
          <w:rFonts w:ascii="宋体" w:hAnsi="宋体"/>
          <w:color w:val="000000"/>
        </w:rPr>
      </w:pPr>
      <w:r>
        <w:rPr>
          <w:rFonts w:hint="eastAsia"/>
        </w:rPr>
        <w:t>实践教学</w:t>
      </w:r>
      <w:r>
        <w:t>分为校内实</w:t>
      </w:r>
      <w:r>
        <w:rPr>
          <w:rFonts w:hint="eastAsia"/>
        </w:rPr>
        <w:t>习</w:t>
      </w:r>
      <w:r>
        <w:t>和校外实</w:t>
      </w:r>
      <w:r>
        <w:rPr>
          <w:rFonts w:hint="eastAsia"/>
        </w:rPr>
        <w:t>习，校内实习按照“理实一体”原则，进行建设</w:t>
      </w:r>
      <w:r>
        <w:t>教学场地</w:t>
      </w:r>
      <w:r>
        <w:rPr>
          <w:rFonts w:hint="eastAsia"/>
        </w:rPr>
        <w:t>，并将教学</w:t>
      </w:r>
      <w:r>
        <w:t>内容</w:t>
      </w:r>
      <w:r>
        <w:rPr>
          <w:rFonts w:hint="eastAsia"/>
        </w:rPr>
        <w:t>分配至每个学期；</w:t>
      </w:r>
      <w:r>
        <w:t>校外实习按照校企合作、共建共享的原则，建设校外实训基地，满足实训和</w:t>
      </w:r>
      <w:r>
        <w:rPr>
          <w:rFonts w:hint="eastAsia"/>
        </w:rPr>
        <w:t>岗位实习</w:t>
      </w:r>
      <w:r>
        <w:t>需要。</w:t>
      </w:r>
    </w:p>
    <w:p>
      <w:pPr>
        <w:pStyle w:val="92"/>
      </w:pPr>
      <w:bookmarkStart w:id="122" w:name="_Toc93520565"/>
      <w:bookmarkStart w:id="123" w:name="_Toc99220050"/>
      <w:bookmarkStart w:id="124" w:name="_Toc99220911"/>
      <w:bookmarkStart w:id="125" w:name="_Toc99222620"/>
      <w:bookmarkStart w:id="126" w:name="_Toc99219065"/>
      <w:r>
        <w:rPr>
          <w:rFonts w:hint="eastAsia"/>
        </w:rPr>
        <w:t>（二）组织与实施</w:t>
      </w:r>
      <w:bookmarkEnd w:id="122"/>
      <w:bookmarkEnd w:id="123"/>
      <w:bookmarkEnd w:id="124"/>
      <w:bookmarkEnd w:id="125"/>
      <w:bookmarkEnd w:id="126"/>
    </w:p>
    <w:p>
      <w:pPr>
        <w:pStyle w:val="94"/>
      </w:pPr>
      <w:r>
        <w:rPr>
          <w:rFonts w:hint="eastAsia"/>
        </w:rPr>
        <w:t>1. 校内实习</w:t>
      </w:r>
    </w:p>
    <w:p>
      <w:pPr>
        <w:pStyle w:val="101"/>
        <w:ind w:firstLine="560"/>
      </w:pPr>
      <w:r>
        <w:rPr>
          <w:rFonts w:hint="eastAsia"/>
        </w:rPr>
        <w:t>整合校内实践教学资源，建设实习实训基地。根据专业特点，按照“理实一体”原则，建设真实项目教室、现场教室等，并将校内实训实习分配至每个学期。</w:t>
      </w:r>
      <w:r>
        <w:t xml:space="preserve"> </w:t>
      </w:r>
    </w:p>
    <w:p>
      <w:pPr>
        <w:pStyle w:val="94"/>
      </w:pPr>
      <w:r>
        <w:rPr>
          <w:rFonts w:hint="eastAsia"/>
        </w:rPr>
        <w:t>2.</w:t>
      </w:r>
      <w:r>
        <w:t xml:space="preserve"> </w:t>
      </w:r>
      <w:r>
        <w:rPr>
          <w:rFonts w:hint="eastAsia"/>
        </w:rPr>
        <w:t>校外实习</w:t>
      </w:r>
    </w:p>
    <w:p>
      <w:pPr>
        <w:pStyle w:val="101"/>
        <w:ind w:firstLine="560"/>
      </w:pPr>
      <w:r>
        <w:t>按照校企合作、共建共享的原则，建设相对稳定的校外实训基地，校外实训基地的遴选与建设，与实践教学体系配套，满足实训和</w:t>
      </w:r>
      <w:r>
        <w:rPr>
          <w:rFonts w:hint="eastAsia"/>
        </w:rPr>
        <w:t>岗位实习</w:t>
      </w:r>
      <w:r>
        <w:t>需要。专业核心技能的训练项目都有对应的生产性实训基地，学生有对口的岗位实习岗位。</w:t>
      </w:r>
    </w:p>
    <w:p>
      <w:pPr>
        <w:pStyle w:val="101"/>
        <w:ind w:firstLine="560"/>
        <w:rPr>
          <w:rFonts w:ascii="宋体" w:hAnsi="宋体" w:cs="宋体"/>
          <w:kern w:val="0"/>
        </w:rPr>
      </w:pPr>
      <w:r>
        <w:rPr>
          <w:rFonts w:hint="eastAsia"/>
        </w:rPr>
        <w:t>计算机网络技术专业深入ICT行业等有关从事计算的多家实训基地，学生亲自动手操作和亲自实践，系统掌握并接触本专业的主要业务环节，全面巩固专业知识。同时，聘请有丰富经验的管理人员参与办学全过程。</w:t>
      </w:r>
    </w:p>
    <w:p>
      <w:pPr>
        <w:pStyle w:val="90"/>
      </w:pPr>
      <w:bookmarkStart w:id="127" w:name="_Toc99220051"/>
      <w:bookmarkStart w:id="128" w:name="_Toc99222621"/>
      <w:bookmarkStart w:id="129" w:name="_Toc93520566"/>
      <w:bookmarkStart w:id="130" w:name="_Toc99219066"/>
      <w:bookmarkStart w:id="131" w:name="_Toc99220912"/>
      <w:bookmarkStart w:id="132" w:name="_Toc46303717"/>
      <w:bookmarkStart w:id="133" w:name="_Hlk45719100"/>
      <w:r>
        <w:rPr>
          <w:rFonts w:hint="eastAsia"/>
        </w:rPr>
        <w:t>九</w:t>
      </w:r>
      <w:r>
        <w:t>、</w:t>
      </w:r>
      <w:r>
        <w:rPr>
          <w:rFonts w:hint="eastAsia"/>
        </w:rPr>
        <w:t>课程思政教学体系</w:t>
      </w:r>
      <w:bookmarkEnd w:id="127"/>
      <w:bookmarkEnd w:id="128"/>
      <w:bookmarkEnd w:id="129"/>
      <w:bookmarkEnd w:id="130"/>
      <w:bookmarkEnd w:id="131"/>
      <w:bookmarkEnd w:id="132"/>
    </w:p>
    <w:bookmarkEnd w:id="81"/>
    <w:bookmarkEnd w:id="133"/>
    <w:p>
      <w:pPr>
        <w:pStyle w:val="92"/>
      </w:pPr>
      <w:bookmarkStart w:id="134" w:name="_Toc99219067"/>
      <w:bookmarkStart w:id="135" w:name="_Toc99220052"/>
      <w:bookmarkStart w:id="136" w:name="_Toc93520567"/>
      <w:bookmarkStart w:id="137" w:name="_Toc99220913"/>
      <w:bookmarkStart w:id="138" w:name="_Toc99222622"/>
      <w:bookmarkStart w:id="139" w:name="_Toc46303719"/>
      <w:bookmarkStart w:id="140" w:name="_Hlk11958275"/>
      <w:bookmarkStart w:id="141" w:name="_Toc407697894"/>
      <w:bookmarkStart w:id="142" w:name="_Toc305418729"/>
      <w:bookmarkStart w:id="143" w:name="_Toc303837893"/>
      <w:bookmarkStart w:id="144" w:name="_Toc405393379"/>
      <w:bookmarkStart w:id="145" w:name="_Toc407696136"/>
      <w:r>
        <w:rPr>
          <w:rFonts w:hint="eastAsia"/>
        </w:rPr>
        <w:t>（一）课程思政目标要求</w:t>
      </w:r>
      <w:bookmarkEnd w:id="134"/>
      <w:bookmarkEnd w:id="135"/>
      <w:bookmarkEnd w:id="136"/>
      <w:bookmarkEnd w:id="137"/>
      <w:bookmarkEnd w:id="138"/>
    </w:p>
    <w:p>
      <w:pPr>
        <w:pStyle w:val="101"/>
        <w:ind w:firstLine="560"/>
      </w:pPr>
      <w:r>
        <w:rPr>
          <w:rFonts w:hint="eastAsia"/>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pStyle w:val="89"/>
      </w:pPr>
      <w:r>
        <w:rPr>
          <w:rFonts w:hint="eastAsia"/>
        </w:rPr>
        <w:t>表5  课程思政指标</w:t>
      </w:r>
    </w:p>
    <w:tbl>
      <w:tblPr>
        <w:tblStyle w:val="3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4"/>
        <w:gridCol w:w="1071"/>
        <w:gridCol w:w="698"/>
        <w:gridCol w:w="5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基本原则</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一级指标</w:t>
            </w:r>
          </w:p>
        </w:tc>
        <w:tc>
          <w:tcPr>
            <w:tcW w:w="3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社会主义</w:t>
            </w:r>
          </w:p>
          <w:p>
            <w:pPr>
              <w:pStyle w:val="99"/>
              <w:framePr w:hSpace="0" w:wrap="auto" w:vAnchor="margin" w:hAnchor="text" w:xAlign="left" w:yAlign="inline"/>
              <w:rPr>
                <w:rFonts w:ascii="宋体" w:hAnsi="宋体"/>
              </w:rPr>
            </w:pPr>
            <w:r>
              <w:rPr>
                <w:rFonts w:hint="eastAsia" w:ascii="宋体" w:hAnsi="宋体"/>
              </w:rPr>
              <w:t>核心价值</w:t>
            </w:r>
          </w:p>
          <w:p>
            <w:pPr>
              <w:pStyle w:val="99"/>
              <w:framePr w:hSpace="0" w:wrap="auto" w:vAnchor="margin" w:hAnchor="text" w:xAlign="left" w:yAlign="inline"/>
              <w:rPr>
                <w:rFonts w:ascii="宋体" w:hAnsi="宋体"/>
              </w:rPr>
            </w:pPr>
            <w:r>
              <w:rPr>
                <w:rFonts w:hint="eastAsia" w:ascii="宋体" w:hAnsi="宋体"/>
              </w:rPr>
              <w:t>观</w:t>
            </w: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1.富强</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2.民主</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2.1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2.2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2.3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3.文明</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3.1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3.2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3.3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3.4</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3.5</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4.和谐</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4.1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4.2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5.自由</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5.1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5.2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5.3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5.4</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6.平等</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6.1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6.2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7公正</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7.1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7.2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8.法治</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8.1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8.2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8.3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8.4</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8.5</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9.爱国</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9.1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9.2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9.3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10.敬业</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10.1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10.2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10.3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10.4</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10.4</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10.5</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10.6</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11.诚信</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11.1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11.2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11.3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restar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12.友善</w:t>
            </w:r>
          </w:p>
        </w:tc>
        <w:tc>
          <w:tcPr>
            <w:tcW w:w="409" w:type="pct"/>
            <w:tcBorders>
              <w:top w:val="single" w:color="000000" w:sz="4" w:space="0"/>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12.1</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12.2</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12.3</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12.4</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6"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628" w:type="pct"/>
            <w:vMerge w:val="continue"/>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p>
        </w:tc>
        <w:tc>
          <w:tcPr>
            <w:tcW w:w="409" w:type="pct"/>
            <w:tcBorders>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12.5</w:t>
            </w:r>
          </w:p>
        </w:tc>
        <w:tc>
          <w:tcPr>
            <w:tcW w:w="3257" w:type="pct"/>
            <w:tcBorders>
              <w:top w:val="single" w:color="000000" w:sz="4" w:space="0"/>
              <w:left w:val="single" w:color="000000" w:sz="4" w:space="0"/>
              <w:bottom w:val="single" w:color="000000" w:sz="4" w:space="0"/>
              <w:right w:val="single" w:color="000000" w:sz="4" w:space="0"/>
            </w:tcBorders>
            <w:vAlign w:val="center"/>
          </w:tcPr>
          <w:p>
            <w:pPr>
              <w:pStyle w:val="99"/>
              <w:framePr w:hSpace="0" w:wrap="auto" w:vAnchor="margin" w:hAnchor="text" w:xAlign="left" w:yAlign="inline"/>
              <w:rPr>
                <w:rFonts w:ascii="宋体" w:hAnsi="宋体"/>
              </w:rPr>
            </w:pPr>
            <w:r>
              <w:rPr>
                <w:rFonts w:hint="eastAsia" w:ascii="宋体" w:hAnsi="宋体"/>
              </w:rPr>
              <w:t>团结合作，共谋发展</w:t>
            </w:r>
          </w:p>
        </w:tc>
      </w:tr>
    </w:tbl>
    <w:p>
      <w:pPr>
        <w:pStyle w:val="92"/>
      </w:pPr>
      <w:bookmarkStart w:id="146" w:name="_Toc99222623"/>
      <w:bookmarkStart w:id="147" w:name="_Toc99219068"/>
      <w:bookmarkStart w:id="148" w:name="_Toc99220053"/>
      <w:bookmarkStart w:id="149" w:name="_Toc99220914"/>
      <w:bookmarkStart w:id="150" w:name="_Toc93520568"/>
      <w:r>
        <w:rPr>
          <w:rFonts w:hint="eastAsia"/>
        </w:rPr>
        <w:t>（二）课程思政体系建设</w:t>
      </w:r>
      <w:bookmarkEnd w:id="146"/>
      <w:bookmarkEnd w:id="147"/>
      <w:bookmarkEnd w:id="148"/>
      <w:bookmarkEnd w:id="149"/>
      <w:bookmarkEnd w:id="150"/>
    </w:p>
    <w:p>
      <w:pPr>
        <w:pStyle w:val="101"/>
        <w:ind w:firstLine="560"/>
      </w:pPr>
      <w:r>
        <w:rPr>
          <w:rFonts w:hint="eastAsia"/>
        </w:rPr>
        <w:t>坚持以“立德树人”为根本任务，以党建引领的“六个一”工程和团学建设“六个一”工程为两翼，以 “课程思政+思政课程”为主体，“一体两翼”立体推进思政体系建设。</w:t>
      </w:r>
    </w:p>
    <w:p>
      <w:pPr>
        <w:pStyle w:val="2"/>
        <w:spacing w:line="240" w:lineRule="auto"/>
        <w:ind w:firstLine="240" w:firstLineChars="100"/>
        <w:jc w:val="center"/>
        <w:rPr>
          <w:rFonts w:ascii="Times New Roman" w:hAnsi="Times New Roman" w:eastAsia="宋体" w:cs="Times New Roman"/>
          <w:sz w:val="24"/>
          <w:lang w:val="en-US"/>
        </w:rPr>
      </w:pPr>
      <w:r>
        <w:rPr>
          <w:rFonts w:ascii="Times New Roman" w:hAnsi="Times New Roman" w:eastAsia="宋体" w:cs="Times New Roman"/>
          <w:sz w:val="24"/>
          <w:lang w:val="en-US"/>
        </w:rPr>
        <w:drawing>
          <wp:inline distT="0" distB="0" distL="0" distR="0">
            <wp:extent cx="2687320" cy="2687320"/>
            <wp:effectExtent l="0" t="0" r="0" b="0"/>
            <wp:docPr id="2"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baed0f88978d7453aa8f87b6cdff85b.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687320" cy="2687320"/>
                    </a:xfrm>
                    <a:prstGeom prst="rect">
                      <a:avLst/>
                    </a:prstGeom>
                    <a:noFill/>
                    <a:ln w="9525">
                      <a:noFill/>
                      <a:miter lim="800000"/>
                      <a:headEnd/>
                      <a:tailEnd/>
                    </a:ln>
                  </pic:spPr>
                </pic:pic>
              </a:graphicData>
            </a:graphic>
          </wp:inline>
        </w:drawing>
      </w:r>
    </w:p>
    <w:p>
      <w:pPr>
        <w:pStyle w:val="89"/>
      </w:pPr>
      <w:r>
        <w:rPr>
          <w:rFonts w:hint="eastAsia"/>
        </w:rPr>
        <w:t>图1 课程思政育人体系结构图</w:t>
      </w:r>
    </w:p>
    <w:p>
      <w:pPr>
        <w:pStyle w:val="101"/>
        <w:ind w:firstLine="560"/>
      </w:pPr>
      <w:r>
        <w:rPr>
          <w:rFonts w:hint="eastAsia"/>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101"/>
        <w:ind w:firstLine="560"/>
      </w:pPr>
      <w:r>
        <w:rPr>
          <w:rFonts w:hint="eastAsia"/>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101"/>
        <w:ind w:firstLine="560"/>
      </w:pPr>
      <w:r>
        <w:rPr>
          <w:rFonts w:hint="eastAsia"/>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92"/>
      </w:pPr>
      <w:bookmarkStart w:id="151" w:name="_Toc99220054"/>
      <w:bookmarkStart w:id="152" w:name="_Toc99219069"/>
      <w:bookmarkStart w:id="153" w:name="_Toc93520569"/>
      <w:bookmarkStart w:id="154" w:name="_Toc99220915"/>
      <w:bookmarkStart w:id="155" w:name="_Toc99222624"/>
      <w:r>
        <w:rPr>
          <w:rFonts w:hint="eastAsia"/>
        </w:rPr>
        <w:t>（三）课程思政建设及实施</w:t>
      </w:r>
      <w:bookmarkEnd w:id="151"/>
      <w:bookmarkEnd w:id="152"/>
      <w:bookmarkEnd w:id="153"/>
      <w:bookmarkEnd w:id="154"/>
      <w:bookmarkEnd w:id="155"/>
    </w:p>
    <w:p>
      <w:pPr>
        <w:pStyle w:val="89"/>
      </w:pPr>
      <w:r>
        <w:rPr>
          <w:rFonts w:hint="eastAsia"/>
        </w:rPr>
        <w:t>表6  信息安全专业课程思政教学融入要点</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016"/>
        <w:gridCol w:w="1987"/>
        <w:gridCol w:w="20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5" w:type="pct"/>
            <w:tcBorders>
              <w:top w:val="single" w:color="auto" w:sz="8" w:space="0"/>
              <w:bottom w:val="single" w:color="auto" w:sz="4" w:space="0"/>
            </w:tcBorders>
            <w:shd w:val="clear" w:color="auto" w:fill="auto"/>
            <w:vAlign w:val="center"/>
          </w:tcPr>
          <w:p>
            <w:pPr>
              <w:pStyle w:val="99"/>
              <w:framePr w:hSpace="0" w:wrap="auto" w:vAnchor="margin" w:hAnchor="text" w:xAlign="left" w:yAlign="inline"/>
              <w:rPr>
                <w:rFonts w:ascii="宋体" w:hAnsi="宋体"/>
                <w:b/>
              </w:rPr>
            </w:pPr>
            <w:r>
              <w:rPr>
                <w:rFonts w:ascii="宋体" w:hAnsi="宋体"/>
                <w:b/>
              </w:rPr>
              <w:t>课程</w:t>
            </w:r>
          </w:p>
        </w:tc>
        <w:tc>
          <w:tcPr>
            <w:tcW w:w="1768" w:type="pct"/>
            <w:tcBorders>
              <w:top w:val="single" w:color="auto" w:sz="8" w:space="0"/>
              <w:bottom w:val="single" w:color="auto" w:sz="4" w:space="0"/>
            </w:tcBorders>
            <w:shd w:val="clear" w:color="auto" w:fill="auto"/>
            <w:vAlign w:val="center"/>
          </w:tcPr>
          <w:p>
            <w:pPr>
              <w:pStyle w:val="99"/>
              <w:framePr w:hSpace="0" w:wrap="auto" w:vAnchor="margin" w:hAnchor="text" w:xAlign="left" w:yAlign="inline"/>
              <w:rPr>
                <w:rFonts w:ascii="宋体" w:hAnsi="宋体"/>
                <w:b/>
              </w:rPr>
            </w:pPr>
            <w:r>
              <w:rPr>
                <w:rFonts w:hint="eastAsia" w:ascii="宋体" w:hAnsi="宋体"/>
                <w:b/>
              </w:rPr>
              <w:t>主要知识点、技能点</w:t>
            </w:r>
          </w:p>
        </w:tc>
        <w:tc>
          <w:tcPr>
            <w:tcW w:w="1165" w:type="pct"/>
            <w:tcBorders>
              <w:top w:val="single" w:color="auto" w:sz="8" w:space="0"/>
              <w:bottom w:val="single" w:color="auto" w:sz="4" w:space="0"/>
            </w:tcBorders>
            <w:shd w:val="clear" w:color="auto" w:fill="auto"/>
            <w:vAlign w:val="center"/>
          </w:tcPr>
          <w:p>
            <w:pPr>
              <w:pStyle w:val="99"/>
              <w:framePr w:hSpace="0" w:wrap="auto" w:vAnchor="margin" w:hAnchor="text" w:xAlign="left" w:yAlign="inline"/>
              <w:rPr>
                <w:rFonts w:ascii="宋体" w:hAnsi="宋体"/>
                <w:b/>
              </w:rPr>
            </w:pPr>
            <w:r>
              <w:rPr>
                <w:rFonts w:hint="eastAsia" w:ascii="宋体" w:hAnsi="宋体"/>
                <w:b/>
              </w:rPr>
              <w:t>融入的思政元素</w:t>
            </w:r>
          </w:p>
        </w:tc>
        <w:tc>
          <w:tcPr>
            <w:tcW w:w="1192" w:type="pct"/>
            <w:tcBorders>
              <w:top w:val="single" w:color="auto" w:sz="8" w:space="0"/>
              <w:bottom w:val="single" w:color="auto" w:sz="4" w:space="0"/>
            </w:tcBorders>
            <w:shd w:val="clear" w:color="auto" w:fill="auto"/>
            <w:vAlign w:val="center"/>
          </w:tcPr>
          <w:p>
            <w:pPr>
              <w:pStyle w:val="99"/>
              <w:framePr w:hSpace="0" w:wrap="auto" w:vAnchor="margin" w:hAnchor="text" w:xAlign="left" w:yAlign="inline"/>
              <w:rPr>
                <w:rFonts w:ascii="宋体" w:hAnsi="宋体"/>
                <w:b/>
              </w:rPr>
            </w:pPr>
            <w:r>
              <w:rPr>
                <w:rFonts w:hint="eastAsia" w:ascii="宋体" w:hAnsi="宋体"/>
                <w:b/>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75" w:type="pct"/>
            <w:vAlign w:val="center"/>
          </w:tcPr>
          <w:p>
            <w:pPr>
              <w:pStyle w:val="99"/>
              <w:framePr w:hSpace="0" w:wrap="auto" w:vAnchor="margin" w:hAnchor="text" w:xAlign="left" w:yAlign="inline"/>
              <w:rPr>
                <w:rFonts w:ascii="宋体" w:hAnsi="宋体"/>
              </w:rPr>
            </w:pPr>
            <w:r>
              <w:rPr>
                <w:rFonts w:hint="eastAsia" w:ascii="宋体" w:hAnsi="宋体"/>
              </w:rPr>
              <w:t>Linux</w:t>
            </w:r>
          </w:p>
        </w:tc>
        <w:tc>
          <w:tcPr>
            <w:tcW w:w="1768" w:type="pct"/>
          </w:tcPr>
          <w:p>
            <w:pPr>
              <w:pStyle w:val="99"/>
              <w:rPr>
                <w:rFonts w:ascii="宋体" w:hAnsi="宋体"/>
              </w:rPr>
            </w:pPr>
            <w:r>
              <w:rPr>
                <w:rFonts w:hint="eastAsia" w:ascii="宋体" w:hAnsi="宋体"/>
              </w:rPr>
              <w:t>安装、卸载Linux操作系统并能熟练使用GNOME和KDE桌面环境，同时能熟练使用Linux操作系统的基</w:t>
            </w:r>
          </w:p>
          <w:p>
            <w:pPr>
              <w:pStyle w:val="99"/>
              <w:rPr>
                <w:rFonts w:ascii="宋体" w:hAnsi="宋体"/>
              </w:rPr>
            </w:pPr>
            <w:r>
              <w:rPr>
                <w:rFonts w:hint="eastAsia" w:ascii="宋体" w:hAnsi="宋体"/>
              </w:rPr>
              <w:t>Linux文件系统的基本概念和基本组成，熟练配置Linux系统中的用户和组，能合理管理Linux系统的各种软硬件资源。</w:t>
            </w:r>
          </w:p>
          <w:p>
            <w:pPr>
              <w:pStyle w:val="99"/>
              <w:framePr w:hSpace="0" w:wrap="auto" w:vAnchor="margin" w:hAnchor="text" w:xAlign="left" w:yAlign="inline"/>
              <w:rPr>
                <w:rFonts w:ascii="宋体" w:hAnsi="宋体"/>
              </w:rPr>
            </w:pPr>
            <w:r>
              <w:rPr>
                <w:rFonts w:hint="eastAsia" w:ascii="宋体" w:hAnsi="宋体"/>
              </w:rPr>
              <w:t>Linux系统的各种中小企业常见服务器的配置方法。</w:t>
            </w:r>
          </w:p>
        </w:tc>
        <w:tc>
          <w:tcPr>
            <w:tcW w:w="1165" w:type="pct"/>
            <w:vAlign w:val="center"/>
          </w:tcPr>
          <w:p>
            <w:pPr>
              <w:pStyle w:val="99"/>
              <w:framePr w:hSpace="0" w:wrap="auto" w:vAnchor="margin" w:hAnchor="text" w:xAlign="left" w:yAlign="inline"/>
              <w:rPr>
                <w:rFonts w:ascii="宋体" w:hAnsi="宋体"/>
              </w:rPr>
            </w:pPr>
            <w:r>
              <w:rPr>
                <w:rFonts w:hint="eastAsia" w:ascii="宋体" w:hAnsi="宋体"/>
              </w:rPr>
              <w:t>良好的团队协作精神与较好的沟通能力；综合分析和解决问题的能力良好的职业道德规范</w:t>
            </w:r>
          </w:p>
        </w:tc>
        <w:tc>
          <w:tcPr>
            <w:tcW w:w="1192" w:type="pct"/>
            <w:vAlign w:val="center"/>
          </w:tcPr>
          <w:p>
            <w:pPr>
              <w:ind w:firstLine="420"/>
              <w:jc w:val="left"/>
              <w:rPr>
                <w:rFonts w:hAnsi="宋体"/>
                <w:color w:val="000000"/>
                <w:szCs w:val="21"/>
              </w:rPr>
            </w:pPr>
            <w:r>
              <w:rPr>
                <w:rFonts w:hint="eastAsia" w:hAnsi="宋体"/>
                <w:color w:val="000000"/>
                <w:szCs w:val="21"/>
              </w:rPr>
              <w:t>网上资源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75" w:type="pct"/>
            <w:vAlign w:val="center"/>
          </w:tcPr>
          <w:p>
            <w:pPr>
              <w:pStyle w:val="99"/>
              <w:framePr w:hSpace="0" w:wrap="auto" w:vAnchor="margin" w:hAnchor="text" w:xAlign="left" w:yAlign="inline"/>
              <w:rPr>
                <w:rFonts w:ascii="宋体" w:hAnsi="宋体"/>
              </w:rPr>
            </w:pPr>
            <w:r>
              <w:rPr>
                <w:rFonts w:hint="eastAsia" w:ascii="宋体" w:hAnsi="宋体"/>
              </w:rPr>
              <w:t>Python程序设计</w:t>
            </w:r>
          </w:p>
        </w:tc>
        <w:tc>
          <w:tcPr>
            <w:tcW w:w="1768" w:type="pct"/>
            <w:vAlign w:val="center"/>
          </w:tcPr>
          <w:p>
            <w:pPr>
              <w:pStyle w:val="99"/>
              <w:framePr w:hSpace="0" w:wrap="auto" w:vAnchor="margin" w:hAnchor="text" w:xAlign="left" w:yAlign="inline"/>
              <w:rPr>
                <w:rFonts w:ascii="宋体" w:hAnsi="宋体"/>
              </w:rPr>
            </w:pPr>
            <w:r>
              <w:rPr>
                <w:rFonts w:hint="eastAsia" w:ascii="宋体" w:hAnsi="宋体"/>
              </w:rPr>
              <w:t>1掌握Python程序设计语言的基本知识和使用 Python语言进行软件开发的思想和基本方法，进而掌握程序设计的基本步骤和通用方法，</w:t>
            </w:r>
          </w:p>
          <w:p>
            <w:pPr>
              <w:pStyle w:val="99"/>
              <w:framePr w:hSpace="0" w:wrap="auto" w:vAnchor="margin" w:hAnchor="text" w:xAlign="left" w:yAlign="inline"/>
              <w:rPr>
                <w:rFonts w:ascii="宋体" w:hAnsi="宋体"/>
              </w:rPr>
            </w:pPr>
            <w:r>
              <w:rPr>
                <w:rFonts w:hint="eastAsia" w:ascii="宋体" w:hAnsi="宋体"/>
              </w:rPr>
              <w:t>2提高通过编写程序解决实际问题的能力，为今后进一步使用数据采集和分析等大数据及人工智 能方面的运用打好基础</w:t>
            </w:r>
          </w:p>
        </w:tc>
        <w:tc>
          <w:tcPr>
            <w:tcW w:w="1165" w:type="pct"/>
            <w:vAlign w:val="center"/>
          </w:tcPr>
          <w:p>
            <w:pPr>
              <w:pStyle w:val="99"/>
              <w:framePr w:hSpace="0" w:wrap="auto" w:vAnchor="margin" w:hAnchor="text" w:xAlign="left" w:yAlign="inline"/>
              <w:rPr>
                <w:rFonts w:ascii="宋体" w:hAnsi="宋体"/>
              </w:rPr>
            </w:pPr>
            <w:r>
              <w:rPr>
                <w:rFonts w:hint="eastAsia" w:ascii="宋体" w:hAnsi="宋体"/>
              </w:rPr>
              <w:t>培养学生高尚的职业道德和较强的自主创新精神</w:t>
            </w:r>
          </w:p>
        </w:tc>
        <w:tc>
          <w:tcPr>
            <w:tcW w:w="1192" w:type="pct"/>
            <w:vAlign w:val="center"/>
          </w:tcPr>
          <w:p>
            <w:pPr>
              <w:pStyle w:val="99"/>
              <w:framePr w:hSpace="0" w:wrap="auto" w:vAnchor="margin" w:hAnchor="text" w:xAlign="left" w:yAlign="inline"/>
              <w:rPr>
                <w:rFonts w:ascii="宋体" w:hAnsi="宋体"/>
              </w:rPr>
            </w:pPr>
            <w:r>
              <w:rPr>
                <w:rFonts w:hint="eastAsia" w:ascii="宋体" w:hAnsi="宋体"/>
              </w:rPr>
              <w:t>网上资源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75" w:type="pct"/>
            <w:vAlign w:val="center"/>
          </w:tcPr>
          <w:p>
            <w:pPr>
              <w:pStyle w:val="99"/>
              <w:framePr w:hSpace="0" w:wrap="auto" w:vAnchor="margin" w:hAnchor="text" w:xAlign="left" w:yAlign="inline"/>
              <w:rPr>
                <w:rFonts w:ascii="宋体" w:hAnsi="宋体"/>
              </w:rPr>
            </w:pPr>
            <w:r>
              <w:rPr>
                <w:rFonts w:hint="eastAsia" w:ascii="宋体" w:hAnsi="宋体"/>
              </w:rPr>
              <w:t>计算机</w:t>
            </w:r>
            <w:r>
              <w:rPr>
                <w:rFonts w:ascii="宋体" w:hAnsi="宋体"/>
              </w:rPr>
              <w:t>网络技术</w:t>
            </w:r>
          </w:p>
        </w:tc>
        <w:tc>
          <w:tcPr>
            <w:tcW w:w="1768" w:type="pct"/>
            <w:vAlign w:val="center"/>
          </w:tcPr>
          <w:p>
            <w:pPr>
              <w:pStyle w:val="99"/>
              <w:framePr w:hSpace="0" w:wrap="auto" w:vAnchor="margin" w:hAnchor="text" w:xAlign="left" w:yAlign="inline"/>
              <w:rPr>
                <w:rFonts w:ascii="宋体" w:hAnsi="宋体"/>
              </w:rPr>
            </w:pPr>
            <w:r>
              <w:rPr>
                <w:rFonts w:hint="eastAsia" w:ascii="宋体" w:hAnsi="宋体"/>
              </w:rPr>
              <w:t>计算机网络各逻辑层的功能和工作原理；对应用广泛的局域网技术，重点掌握以太网技术</w:t>
            </w:r>
          </w:p>
        </w:tc>
        <w:tc>
          <w:tcPr>
            <w:tcW w:w="1165" w:type="pct"/>
            <w:vAlign w:val="center"/>
          </w:tcPr>
          <w:p>
            <w:pPr>
              <w:pStyle w:val="99"/>
              <w:framePr w:hSpace="0" w:wrap="auto" w:vAnchor="margin" w:hAnchor="text" w:xAlign="left" w:yAlign="inline"/>
              <w:rPr>
                <w:rFonts w:ascii="宋体" w:hAnsi="宋体"/>
              </w:rPr>
            </w:pPr>
            <w:r>
              <w:rPr>
                <w:rFonts w:hint="eastAsia" w:ascii="宋体" w:hAnsi="宋体"/>
              </w:rPr>
              <w:t>安全组网</w:t>
            </w:r>
            <w:r>
              <w:rPr>
                <w:rFonts w:ascii="宋体" w:hAnsi="宋体"/>
              </w:rPr>
              <w:t>，规范网络</w:t>
            </w:r>
          </w:p>
        </w:tc>
        <w:tc>
          <w:tcPr>
            <w:tcW w:w="1192" w:type="pct"/>
            <w:vAlign w:val="center"/>
          </w:tcPr>
          <w:p>
            <w:pPr>
              <w:pStyle w:val="99"/>
              <w:framePr w:hSpace="0" w:wrap="auto" w:vAnchor="margin" w:hAnchor="text" w:xAlign="left" w:yAlign="inline"/>
              <w:rPr>
                <w:rFonts w:ascii="宋体" w:hAnsi="宋体"/>
              </w:rPr>
            </w:pPr>
            <w:r>
              <w:rPr>
                <w:rFonts w:hint="eastAsia" w:ascii="宋体" w:hAnsi="宋体"/>
              </w:rPr>
              <w:t>网上资源，</w:t>
            </w:r>
            <w:r>
              <w:rPr>
                <w:rFonts w:ascii="宋体" w:hAnsi="宋体"/>
              </w:rPr>
              <w:t>实际案例</w:t>
            </w:r>
          </w:p>
        </w:tc>
      </w:tr>
    </w:tbl>
    <w:p>
      <w:pPr>
        <w:pStyle w:val="90"/>
      </w:pPr>
      <w:bookmarkStart w:id="156" w:name="_Toc99219070"/>
      <w:bookmarkStart w:id="157" w:name="_Toc99220916"/>
      <w:bookmarkStart w:id="158" w:name="_Toc93520570"/>
      <w:bookmarkStart w:id="159" w:name="_Toc99222625"/>
      <w:bookmarkStart w:id="160" w:name="_Toc99220055"/>
      <w:r>
        <w:rPr>
          <w:rFonts w:hint="eastAsia"/>
        </w:rPr>
        <w:t>十、学时与学分</w:t>
      </w:r>
      <w:bookmarkEnd w:id="139"/>
      <w:bookmarkEnd w:id="156"/>
      <w:bookmarkEnd w:id="157"/>
      <w:bookmarkEnd w:id="158"/>
      <w:bookmarkEnd w:id="159"/>
      <w:bookmarkEnd w:id="160"/>
    </w:p>
    <w:p>
      <w:pPr>
        <w:pStyle w:val="92"/>
      </w:pPr>
      <w:bookmarkStart w:id="161" w:name="_Toc99220056"/>
      <w:bookmarkStart w:id="162" w:name="_Toc99222626"/>
      <w:bookmarkStart w:id="163" w:name="_Toc93520571"/>
      <w:bookmarkStart w:id="164" w:name="_Toc99219071"/>
      <w:bookmarkStart w:id="165" w:name="_Toc46303720"/>
      <w:bookmarkStart w:id="166" w:name="_Toc99220917"/>
      <w:r>
        <w:rPr>
          <w:rFonts w:hint="eastAsia"/>
        </w:rPr>
        <w:t>（一）学时、学分安排</w:t>
      </w:r>
      <w:bookmarkEnd w:id="161"/>
      <w:bookmarkEnd w:id="162"/>
      <w:bookmarkEnd w:id="163"/>
      <w:bookmarkEnd w:id="164"/>
      <w:bookmarkEnd w:id="165"/>
      <w:bookmarkEnd w:id="166"/>
    </w:p>
    <w:p>
      <w:pPr>
        <w:pStyle w:val="101"/>
        <w:ind w:firstLine="560"/>
      </w:pPr>
      <w:bookmarkStart w:id="167" w:name="_Hlk45722221"/>
      <w:r>
        <w:rPr>
          <w:rFonts w:hint="eastAsia"/>
        </w:rPr>
        <w:t>总学时数为2845，总学分为156。</w:t>
      </w:r>
    </w:p>
    <w:bookmarkEnd w:id="167"/>
    <w:p>
      <w:pPr>
        <w:pStyle w:val="92"/>
      </w:pPr>
      <w:bookmarkStart w:id="168" w:name="_Toc99219072"/>
      <w:bookmarkStart w:id="169" w:name="_Toc46303721"/>
      <w:bookmarkStart w:id="170" w:name="_Toc93520572"/>
      <w:bookmarkStart w:id="171" w:name="_Toc99220918"/>
      <w:bookmarkStart w:id="172" w:name="_Toc99222627"/>
      <w:bookmarkStart w:id="173" w:name="_Toc99220057"/>
      <w:r>
        <w:rPr>
          <w:rFonts w:hint="eastAsia"/>
        </w:rPr>
        <w:t>（二）学分安排</w:t>
      </w:r>
      <w:bookmarkEnd w:id="168"/>
      <w:bookmarkEnd w:id="169"/>
      <w:bookmarkEnd w:id="170"/>
      <w:bookmarkEnd w:id="171"/>
      <w:bookmarkEnd w:id="172"/>
      <w:bookmarkEnd w:id="173"/>
    </w:p>
    <w:p>
      <w:pPr>
        <w:pStyle w:val="101"/>
        <w:ind w:firstLine="560"/>
        <w:rPr>
          <w:color w:val="000000"/>
        </w:rPr>
      </w:pPr>
      <w:r>
        <w:rPr>
          <w:rFonts w:hint="eastAsia"/>
        </w:rPr>
        <w:t>公共基础课程38学分，公共限选课程4学分，公共任选课程4学分，专业基础课程学分26，专业核心课程40学分，专业拓展课6学分，集中实践模块32学分，共156学分。</w:t>
      </w:r>
    </w:p>
    <w:p>
      <w:pPr>
        <w:pStyle w:val="92"/>
      </w:pPr>
      <w:bookmarkStart w:id="174" w:name="_Toc99222628"/>
      <w:bookmarkStart w:id="175" w:name="_Toc99220919"/>
      <w:bookmarkStart w:id="176" w:name="_Toc93520573"/>
      <w:bookmarkStart w:id="177" w:name="_Toc99220058"/>
      <w:bookmarkStart w:id="178" w:name="_Toc46303722"/>
      <w:bookmarkStart w:id="179" w:name="_Toc99219073"/>
      <w:r>
        <w:rPr>
          <w:rFonts w:hint="eastAsia"/>
        </w:rPr>
        <w:t>（三）学时、学分分配汇总</w:t>
      </w:r>
      <w:bookmarkEnd w:id="174"/>
      <w:bookmarkEnd w:id="175"/>
      <w:bookmarkEnd w:id="176"/>
      <w:bookmarkEnd w:id="177"/>
      <w:bookmarkEnd w:id="178"/>
      <w:bookmarkEnd w:id="179"/>
    </w:p>
    <w:p>
      <w:pPr>
        <w:pStyle w:val="89"/>
      </w:pPr>
      <w:r>
        <w:rPr>
          <w:rFonts w:hint="eastAsia"/>
        </w:rPr>
        <w:t xml:space="preserve">表7 </w:t>
      </w:r>
      <w:bookmarkStart w:id="180" w:name="_Hlk46219329"/>
      <w:r>
        <w:t xml:space="preserve"> </w:t>
      </w:r>
      <w:r>
        <w:rPr>
          <w:rFonts w:hint="eastAsia"/>
        </w:rPr>
        <w:t>学时学分分配汇总表</w:t>
      </w:r>
      <w:bookmarkEnd w:id="180"/>
    </w:p>
    <w:bookmarkEnd w:id="140"/>
    <w:tbl>
      <w:tblPr>
        <w:tblStyle w:val="33"/>
        <w:tblW w:w="5050" w:type="pct"/>
        <w:tblInd w:w="0" w:type="dxa"/>
        <w:tblLayout w:type="fixed"/>
        <w:tblCellMar>
          <w:top w:w="0" w:type="dxa"/>
          <w:left w:w="108" w:type="dxa"/>
          <w:bottom w:w="0" w:type="dxa"/>
          <w:right w:w="108" w:type="dxa"/>
        </w:tblCellMar>
      </w:tblPr>
      <w:tblGrid>
        <w:gridCol w:w="1048"/>
        <w:gridCol w:w="749"/>
        <w:gridCol w:w="692"/>
        <w:gridCol w:w="691"/>
        <w:gridCol w:w="758"/>
        <w:gridCol w:w="849"/>
        <w:gridCol w:w="849"/>
        <w:gridCol w:w="708"/>
        <w:gridCol w:w="853"/>
        <w:gridCol w:w="848"/>
        <w:gridCol w:w="568"/>
      </w:tblGrid>
      <w:tr>
        <w:tblPrEx>
          <w:tblCellMar>
            <w:top w:w="0" w:type="dxa"/>
            <w:left w:w="108" w:type="dxa"/>
            <w:bottom w:w="0" w:type="dxa"/>
            <w:right w:w="108" w:type="dxa"/>
          </w:tblCellMar>
        </w:tblPrEx>
        <w:trPr>
          <w:trHeight w:val="366" w:hRule="atLeast"/>
        </w:trPr>
        <w:tc>
          <w:tcPr>
            <w:tcW w:w="6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bookmarkStart w:id="181" w:name="_Toc46303723"/>
            <w:r>
              <w:rPr>
                <w:rFonts w:hint="eastAsia" w:ascii="宋体" w:hAnsi="宋体"/>
                <w:b/>
              </w:rPr>
              <w:t>课程分类</w:t>
            </w:r>
          </w:p>
        </w:tc>
        <w:tc>
          <w:tcPr>
            <w:tcW w:w="1678"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公共基础课程</w:t>
            </w:r>
          </w:p>
        </w:tc>
        <w:tc>
          <w:tcPr>
            <w:tcW w:w="1892"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专业（技能）课程</w:t>
            </w:r>
          </w:p>
        </w:tc>
        <w:tc>
          <w:tcPr>
            <w:tcW w:w="4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集中实践模块</w:t>
            </w:r>
          </w:p>
        </w:tc>
        <w:tc>
          <w:tcPr>
            <w:tcW w:w="33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合计</w:t>
            </w:r>
          </w:p>
        </w:tc>
      </w:tr>
      <w:tr>
        <w:tblPrEx>
          <w:tblCellMar>
            <w:top w:w="0" w:type="dxa"/>
            <w:left w:w="108" w:type="dxa"/>
            <w:bottom w:w="0" w:type="dxa"/>
            <w:right w:w="108" w:type="dxa"/>
          </w:tblCellMar>
        </w:tblPrEx>
        <w:trPr>
          <w:trHeight w:val="711" w:hRule="atLeast"/>
        </w:trPr>
        <w:tc>
          <w:tcPr>
            <w:tcW w:w="6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p>
        </w:tc>
        <w:tc>
          <w:tcPr>
            <w:tcW w:w="435" w:type="pct"/>
            <w:tcBorders>
              <w:top w:val="nil"/>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公共必修课程</w:t>
            </w:r>
          </w:p>
        </w:tc>
        <w:tc>
          <w:tcPr>
            <w:tcW w:w="402" w:type="pct"/>
            <w:tcBorders>
              <w:top w:val="nil"/>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公共任选课程</w:t>
            </w:r>
          </w:p>
        </w:tc>
        <w:tc>
          <w:tcPr>
            <w:tcW w:w="401" w:type="pct"/>
            <w:tcBorders>
              <w:top w:val="nil"/>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公共限选课程</w:t>
            </w:r>
          </w:p>
        </w:tc>
        <w:tc>
          <w:tcPr>
            <w:tcW w:w="439" w:type="pct"/>
            <w:tcBorders>
              <w:top w:val="nil"/>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小计</w:t>
            </w: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专业基础课程</w:t>
            </w: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专业核心课程</w:t>
            </w:r>
          </w:p>
        </w:tc>
        <w:tc>
          <w:tcPr>
            <w:tcW w:w="41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专业拓展课程</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小计</w:t>
            </w:r>
          </w:p>
        </w:tc>
        <w:tc>
          <w:tcPr>
            <w:tcW w:w="4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rPr>
            </w:pPr>
          </w:p>
        </w:tc>
        <w:tc>
          <w:tcPr>
            <w:tcW w:w="33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rPr>
            </w:pPr>
          </w:p>
        </w:tc>
      </w:tr>
      <w:tr>
        <w:tblPrEx>
          <w:tblCellMar>
            <w:top w:w="0" w:type="dxa"/>
            <w:left w:w="108" w:type="dxa"/>
            <w:bottom w:w="0" w:type="dxa"/>
            <w:right w:w="108" w:type="dxa"/>
          </w:tblCellMar>
        </w:tblPrEx>
        <w:trPr>
          <w:trHeight w:val="366" w:hRule="atLeast"/>
        </w:trPr>
        <w:tc>
          <w:tcPr>
            <w:tcW w:w="608" w:type="pct"/>
            <w:tcBorders>
              <w:top w:val="nil"/>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rPr>
            </w:pPr>
            <w:r>
              <w:rPr>
                <w:rFonts w:hint="eastAsia" w:ascii="宋体" w:hAnsi="宋体"/>
              </w:rPr>
              <w:t>学时数</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684</w:t>
            </w:r>
          </w:p>
        </w:tc>
        <w:tc>
          <w:tcPr>
            <w:tcW w:w="402"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64</w:t>
            </w:r>
          </w:p>
        </w:tc>
        <w:tc>
          <w:tcPr>
            <w:tcW w:w="401"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64</w:t>
            </w:r>
          </w:p>
        </w:tc>
        <w:tc>
          <w:tcPr>
            <w:tcW w:w="439"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812</w:t>
            </w:r>
          </w:p>
        </w:tc>
        <w:tc>
          <w:tcPr>
            <w:tcW w:w="493"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576</w:t>
            </w:r>
          </w:p>
        </w:tc>
        <w:tc>
          <w:tcPr>
            <w:tcW w:w="493"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480</w:t>
            </w:r>
          </w:p>
        </w:tc>
        <w:tc>
          <w:tcPr>
            <w:tcW w:w="411"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96</w:t>
            </w:r>
          </w:p>
        </w:tc>
        <w:tc>
          <w:tcPr>
            <w:tcW w:w="495"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1153</w:t>
            </w:r>
          </w:p>
        </w:tc>
        <w:tc>
          <w:tcPr>
            <w:tcW w:w="492"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880</w:t>
            </w:r>
          </w:p>
        </w:tc>
        <w:tc>
          <w:tcPr>
            <w:tcW w:w="330"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2845</w:t>
            </w:r>
          </w:p>
        </w:tc>
      </w:tr>
      <w:tr>
        <w:tblPrEx>
          <w:tblCellMar>
            <w:top w:w="0" w:type="dxa"/>
            <w:left w:w="108" w:type="dxa"/>
            <w:bottom w:w="0" w:type="dxa"/>
            <w:right w:w="108" w:type="dxa"/>
          </w:tblCellMar>
        </w:tblPrEx>
        <w:trPr>
          <w:trHeight w:val="366" w:hRule="atLeast"/>
        </w:trPr>
        <w:tc>
          <w:tcPr>
            <w:tcW w:w="608" w:type="pct"/>
            <w:tcBorders>
              <w:top w:val="nil"/>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rPr>
            </w:pPr>
            <w:r>
              <w:rPr>
                <w:rFonts w:hint="eastAsia" w:ascii="宋体" w:hAnsi="宋体"/>
              </w:rPr>
              <w:t>学分数</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38</w:t>
            </w:r>
          </w:p>
        </w:tc>
        <w:tc>
          <w:tcPr>
            <w:tcW w:w="402"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4</w:t>
            </w:r>
          </w:p>
        </w:tc>
        <w:tc>
          <w:tcPr>
            <w:tcW w:w="401"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4</w:t>
            </w:r>
          </w:p>
        </w:tc>
        <w:tc>
          <w:tcPr>
            <w:tcW w:w="439"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46</w:t>
            </w:r>
          </w:p>
        </w:tc>
        <w:tc>
          <w:tcPr>
            <w:tcW w:w="493"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26</w:t>
            </w:r>
          </w:p>
        </w:tc>
        <w:tc>
          <w:tcPr>
            <w:tcW w:w="493"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40</w:t>
            </w:r>
          </w:p>
        </w:tc>
        <w:tc>
          <w:tcPr>
            <w:tcW w:w="411"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6</w:t>
            </w:r>
          </w:p>
        </w:tc>
        <w:tc>
          <w:tcPr>
            <w:tcW w:w="495"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72</w:t>
            </w:r>
          </w:p>
        </w:tc>
        <w:tc>
          <w:tcPr>
            <w:tcW w:w="492"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38</w:t>
            </w:r>
          </w:p>
        </w:tc>
        <w:tc>
          <w:tcPr>
            <w:tcW w:w="330"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156</w:t>
            </w:r>
          </w:p>
        </w:tc>
      </w:tr>
      <w:tr>
        <w:tblPrEx>
          <w:tblCellMar>
            <w:top w:w="0" w:type="dxa"/>
            <w:left w:w="108" w:type="dxa"/>
            <w:bottom w:w="0" w:type="dxa"/>
            <w:right w:w="108" w:type="dxa"/>
          </w:tblCellMar>
        </w:tblPrEx>
        <w:trPr>
          <w:trHeight w:val="733" w:hRule="atLeast"/>
        </w:trPr>
        <w:tc>
          <w:tcPr>
            <w:tcW w:w="608" w:type="pct"/>
            <w:tcBorders>
              <w:top w:val="nil"/>
              <w:left w:val="single" w:color="000000" w:sz="8" w:space="0"/>
              <w:bottom w:val="single" w:color="000000" w:sz="8" w:space="0"/>
              <w:right w:val="single" w:color="000000" w:sz="8" w:space="0"/>
            </w:tcBorders>
            <w:shd w:val="clear" w:color="auto" w:fill="auto"/>
            <w:vAlign w:val="center"/>
          </w:tcPr>
          <w:p>
            <w:pPr>
              <w:pStyle w:val="99"/>
              <w:framePr w:hSpace="0" w:wrap="auto" w:vAnchor="margin" w:hAnchor="text" w:xAlign="left" w:yAlign="inline"/>
              <w:jc w:val="center"/>
              <w:rPr>
                <w:rFonts w:ascii="宋体" w:hAnsi="宋体"/>
              </w:rPr>
            </w:pPr>
            <w:r>
              <w:rPr>
                <w:rFonts w:hint="eastAsia" w:ascii="宋体" w:hAnsi="宋体"/>
              </w:rPr>
              <w:t>学时占比（%）</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24 04</w:t>
            </w:r>
          </w:p>
        </w:tc>
        <w:tc>
          <w:tcPr>
            <w:tcW w:w="402"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2.25</w:t>
            </w:r>
          </w:p>
        </w:tc>
        <w:tc>
          <w:tcPr>
            <w:tcW w:w="401"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2.25</w:t>
            </w:r>
          </w:p>
        </w:tc>
        <w:tc>
          <w:tcPr>
            <w:tcW w:w="439"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28.54</w:t>
            </w:r>
          </w:p>
        </w:tc>
        <w:tc>
          <w:tcPr>
            <w:tcW w:w="493"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20.25</w:t>
            </w:r>
          </w:p>
        </w:tc>
        <w:tc>
          <w:tcPr>
            <w:tcW w:w="493"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16.87</w:t>
            </w:r>
          </w:p>
        </w:tc>
        <w:tc>
          <w:tcPr>
            <w:tcW w:w="411"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3.37</w:t>
            </w:r>
          </w:p>
        </w:tc>
        <w:tc>
          <w:tcPr>
            <w:tcW w:w="495"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40.53</w:t>
            </w:r>
          </w:p>
        </w:tc>
        <w:tc>
          <w:tcPr>
            <w:tcW w:w="492"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30.93</w:t>
            </w:r>
          </w:p>
        </w:tc>
        <w:tc>
          <w:tcPr>
            <w:tcW w:w="330" w:type="pct"/>
            <w:tcBorders>
              <w:top w:val="nil"/>
              <w:left w:val="single" w:color="000000" w:sz="8" w:space="0"/>
              <w:bottom w:val="single" w:color="000000" w:sz="8" w:space="0"/>
              <w:right w:val="single" w:color="000000" w:sz="8" w:space="0"/>
            </w:tcBorders>
            <w:shd w:val="clear" w:color="auto" w:fill="auto"/>
            <w:vAlign w:val="center"/>
          </w:tcPr>
          <w:p>
            <w:pPr>
              <w:ind w:firstLine="0" w:firstLineChars="0"/>
              <w:jc w:val="center"/>
            </w:pPr>
            <w:r>
              <w:t>100</w:t>
            </w:r>
          </w:p>
        </w:tc>
      </w:tr>
    </w:tbl>
    <w:p>
      <w:pPr>
        <w:pStyle w:val="2"/>
        <w:ind w:firstLine="420"/>
        <w:sectPr>
          <w:footerReference r:id="rId17" w:type="default"/>
          <w:pgSz w:w="11906" w:h="16838"/>
          <w:pgMar w:top="1440" w:right="1797" w:bottom="1440" w:left="1797" w:header="851" w:footer="794" w:gutter="0"/>
          <w:pgNumType w:start="1"/>
          <w:cols w:space="425" w:num="1"/>
          <w:docGrid w:type="linesAndChars" w:linePitch="317" w:charSpace="0"/>
        </w:sectPr>
      </w:pPr>
    </w:p>
    <w:p>
      <w:pPr>
        <w:pStyle w:val="90"/>
      </w:pPr>
      <w:bookmarkStart w:id="182" w:name="_Toc93520574"/>
      <w:bookmarkStart w:id="183" w:name="_Toc99219074"/>
      <w:bookmarkStart w:id="184" w:name="_Toc99222629"/>
      <w:bookmarkStart w:id="185" w:name="_Toc99220059"/>
      <w:bookmarkStart w:id="186" w:name="_Toc99220920"/>
      <w:r>
        <w:rPr>
          <w:rFonts w:hint="eastAsia"/>
        </w:rPr>
        <w:t>十一、教学进程总体安排</w:t>
      </w:r>
      <w:bookmarkEnd w:id="181"/>
      <w:bookmarkEnd w:id="182"/>
      <w:bookmarkEnd w:id="183"/>
      <w:bookmarkEnd w:id="184"/>
      <w:bookmarkEnd w:id="185"/>
      <w:bookmarkEnd w:id="186"/>
    </w:p>
    <w:p>
      <w:pPr>
        <w:pStyle w:val="92"/>
      </w:pPr>
      <w:bookmarkStart w:id="187" w:name="_Toc99220060"/>
      <w:bookmarkStart w:id="188" w:name="_Toc99220921"/>
      <w:bookmarkStart w:id="189" w:name="_Toc99219075"/>
      <w:bookmarkStart w:id="190" w:name="_Toc99222630"/>
      <w:bookmarkStart w:id="191" w:name="_Toc46303724"/>
      <w:bookmarkStart w:id="192" w:name="_Toc93520575"/>
      <w:r>
        <w:rPr>
          <w:rFonts w:hint="eastAsia"/>
        </w:rPr>
        <w:t>（一）课程设置总表</w:t>
      </w:r>
      <w:bookmarkEnd w:id="187"/>
      <w:bookmarkEnd w:id="188"/>
      <w:bookmarkEnd w:id="189"/>
      <w:bookmarkEnd w:id="190"/>
      <w:bookmarkEnd w:id="191"/>
      <w:bookmarkEnd w:id="192"/>
    </w:p>
    <w:p>
      <w:pPr>
        <w:pStyle w:val="89"/>
        <w:rPr>
          <w:kern w:val="44"/>
        </w:rPr>
      </w:pPr>
      <w:r>
        <w:rPr>
          <w:rFonts w:hint="eastAsia"/>
        </w:rPr>
        <w:t>表</w:t>
      </w:r>
      <w:r>
        <w:t xml:space="preserve">8  </w:t>
      </w:r>
      <w:r>
        <w:rPr>
          <w:rFonts w:hint="eastAsia"/>
        </w:rPr>
        <w:t>教学进程安排</w:t>
      </w:r>
    </w:p>
    <w:p>
      <w:pPr>
        <w:pStyle w:val="101"/>
        <w:ind w:firstLine="560"/>
      </w:pPr>
    </w:p>
    <w:tbl>
      <w:tblPr>
        <w:tblStyle w:val="33"/>
        <w:tblW w:w="4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2"/>
        <w:gridCol w:w="562"/>
        <w:gridCol w:w="787"/>
        <w:gridCol w:w="424"/>
        <w:gridCol w:w="906"/>
        <w:gridCol w:w="165"/>
        <w:gridCol w:w="2303"/>
        <w:gridCol w:w="534"/>
        <w:gridCol w:w="563"/>
        <w:gridCol w:w="563"/>
        <w:gridCol w:w="597"/>
        <w:gridCol w:w="770"/>
        <w:gridCol w:w="39"/>
        <w:gridCol w:w="728"/>
        <w:gridCol w:w="8"/>
        <w:gridCol w:w="673"/>
        <w:gridCol w:w="86"/>
        <w:gridCol w:w="618"/>
        <w:gridCol w:w="162"/>
        <w:gridCol w:w="537"/>
        <w:gridCol w:w="228"/>
        <w:gridCol w:w="921"/>
        <w:gridCol w:w="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2"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课程</w:t>
            </w:r>
          </w:p>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类别</w:t>
            </w:r>
          </w:p>
        </w:tc>
        <w:tc>
          <w:tcPr>
            <w:tcW w:w="215"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课程性质</w:t>
            </w:r>
          </w:p>
        </w:tc>
        <w:tc>
          <w:tcPr>
            <w:tcW w:w="463"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课程</w:t>
            </w:r>
          </w:p>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代码</w:t>
            </w:r>
          </w:p>
        </w:tc>
        <w:tc>
          <w:tcPr>
            <w:tcW w:w="1289" w:type="pct"/>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课程名称</w:t>
            </w:r>
          </w:p>
        </w:tc>
        <w:tc>
          <w:tcPr>
            <w:tcW w:w="20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总学时</w:t>
            </w:r>
          </w:p>
        </w:tc>
        <w:tc>
          <w:tcPr>
            <w:tcW w:w="430"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学时分配</w:t>
            </w:r>
          </w:p>
        </w:tc>
        <w:tc>
          <w:tcPr>
            <w:tcW w:w="228"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学分</w:t>
            </w:r>
          </w:p>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分数</w:t>
            </w:r>
          </w:p>
        </w:tc>
        <w:tc>
          <w:tcPr>
            <w:tcW w:w="1821" w:type="pct"/>
            <w:gridSpan w:val="11"/>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建议开设时间及周学时数</w:t>
            </w:r>
          </w:p>
        </w:tc>
        <w:tc>
          <w:tcPr>
            <w:tcW w:w="157"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289"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0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理论学时</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实践学时</w:t>
            </w:r>
          </w:p>
        </w:tc>
        <w:tc>
          <w:tcPr>
            <w:tcW w:w="22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一</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二</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三</w:t>
            </w: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四</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五</w:t>
            </w:r>
          </w:p>
        </w:tc>
        <w:tc>
          <w:tcPr>
            <w:tcW w:w="3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六</w:t>
            </w: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GG111020</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思想道德修养与法律基础（一）</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18</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1.5</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r>
              <w:rPr>
                <w:rFonts w:hint="eastAsia" w:ascii="Times New Roman" w:hAnsi="Times New Roman"/>
                <w:color w:val="333333"/>
                <w:kern w:val="0"/>
                <w:szCs w:val="21"/>
              </w:rPr>
              <w:t>（</w:t>
            </w:r>
            <w:r>
              <w:rPr>
                <w:rFonts w:ascii="Times New Roman" w:hAnsi="Times New Roman"/>
                <w:color w:val="333333"/>
                <w:kern w:val="0"/>
                <w:szCs w:val="21"/>
              </w:rPr>
              <w:t>12</w:t>
            </w:r>
            <w:r>
              <w:rPr>
                <w:rFonts w:hint="eastAsia" w:ascii="Times New Roman" w:hAnsi="Times New Roman"/>
                <w:color w:val="333333"/>
                <w:kern w:val="0"/>
                <w:szCs w:val="21"/>
              </w:rPr>
              <w:t>周）</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GG111021</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思想道德修养与法律基础（二）</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18</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1.5</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r>
              <w:rPr>
                <w:rFonts w:hint="eastAsia" w:ascii="Times New Roman" w:hAnsi="Times New Roman"/>
                <w:color w:val="333333"/>
                <w:kern w:val="0"/>
                <w:szCs w:val="21"/>
              </w:rPr>
              <w:t>（</w:t>
            </w:r>
            <w:r>
              <w:rPr>
                <w:rFonts w:ascii="Times New Roman" w:hAnsi="Times New Roman"/>
                <w:color w:val="333333"/>
                <w:kern w:val="0"/>
                <w:szCs w:val="21"/>
              </w:rPr>
              <w:t>12</w:t>
            </w:r>
            <w:r>
              <w:rPr>
                <w:rFonts w:hint="eastAsia" w:ascii="Times New Roman" w:hAnsi="Times New Roman"/>
                <w:color w:val="333333"/>
                <w:kern w:val="0"/>
                <w:szCs w:val="21"/>
              </w:rPr>
              <w:t>周）</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GG111002</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毛泽东思想和中国特色社会主义理论体系概论（一）</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28</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GG111003</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毛泽东思想和中国特色社会主义理论体系概论（二）</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28</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GG111012~GG111015</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形势与政策</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w:t>
            </w:r>
          </w:p>
        </w:tc>
        <w:tc>
          <w:tcPr>
            <w:tcW w:w="1178" w:type="pct"/>
            <w:gridSpan w:val="8"/>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1-4</w:t>
            </w:r>
            <w:r>
              <w:rPr>
                <w:rFonts w:hint="eastAsia" w:ascii="Times New Roman" w:hAnsi="Times New Roman"/>
                <w:color w:val="333333"/>
                <w:kern w:val="0"/>
                <w:szCs w:val="21"/>
              </w:rPr>
              <w:t>学期，每学期</w:t>
            </w:r>
            <w:r>
              <w:rPr>
                <w:rFonts w:ascii="Times New Roman" w:hAnsi="Times New Roman"/>
                <w:color w:val="333333"/>
                <w:kern w:val="0"/>
                <w:szCs w:val="21"/>
              </w:rPr>
              <w:t>8</w:t>
            </w:r>
            <w:r>
              <w:rPr>
                <w:rFonts w:hint="eastAsia" w:ascii="Times New Roman" w:hAnsi="Times New Roman"/>
                <w:color w:val="333333"/>
                <w:kern w:val="0"/>
                <w:szCs w:val="21"/>
              </w:rPr>
              <w:t>学时</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GG111007</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体育与健康（一）</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GG111008</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体育与健康（二）</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GG111009</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体育与健康（三）</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GG111011</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大学生就业指导与创新创业教育</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20</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1-4</w:t>
            </w:r>
            <w:r>
              <w:rPr>
                <w:rFonts w:hint="eastAsia" w:ascii="Times New Roman" w:hAnsi="Times New Roman"/>
                <w:color w:val="333333"/>
                <w:kern w:val="0"/>
                <w:szCs w:val="21"/>
              </w:rPr>
              <w:t>学期，每学期</w:t>
            </w:r>
            <w:r>
              <w:rPr>
                <w:rFonts w:ascii="Times New Roman" w:hAnsi="Times New Roman"/>
                <w:color w:val="333333"/>
                <w:kern w:val="0"/>
                <w:szCs w:val="21"/>
              </w:rPr>
              <w:t>8</w:t>
            </w:r>
            <w:r>
              <w:rPr>
                <w:rFonts w:hint="eastAsia" w:ascii="Times New Roman" w:hAnsi="Times New Roman"/>
                <w:color w:val="333333"/>
                <w:kern w:val="0"/>
                <w:szCs w:val="21"/>
              </w:rPr>
              <w:t>学时</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GG111010</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心理健康教育</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GG111016</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军事理论</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GG111004</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大学英语（一）</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GG111005</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大学英语（二）</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GG111006</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计算机操作与应用</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GG111017</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中华优秀传统文化</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GG111025~ GG111028</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劳动教育</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16</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w:t>
            </w:r>
          </w:p>
        </w:tc>
        <w:tc>
          <w:tcPr>
            <w:tcW w:w="1178" w:type="pct"/>
            <w:gridSpan w:val="8"/>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1-4</w:t>
            </w:r>
            <w:r>
              <w:rPr>
                <w:rFonts w:hint="eastAsia" w:ascii="Times New Roman" w:hAnsi="Times New Roman"/>
                <w:color w:val="333333"/>
                <w:kern w:val="0"/>
                <w:szCs w:val="21"/>
              </w:rPr>
              <w:t>学期，每学期</w:t>
            </w:r>
            <w:r>
              <w:rPr>
                <w:rFonts w:ascii="Times New Roman" w:hAnsi="Times New Roman"/>
                <w:color w:val="333333"/>
                <w:kern w:val="0"/>
                <w:szCs w:val="21"/>
              </w:rPr>
              <w:t>4</w:t>
            </w:r>
            <w:r>
              <w:rPr>
                <w:rFonts w:hint="eastAsia" w:ascii="Times New Roman" w:hAnsi="Times New Roman"/>
                <w:color w:val="333333"/>
                <w:kern w:val="0"/>
                <w:szCs w:val="21"/>
              </w:rPr>
              <w:t>学时</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QXX111030</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应用数学</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QXX111031</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应用文写作</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小计</w:t>
            </w:r>
          </w:p>
        </w:tc>
        <w:tc>
          <w:tcPr>
            <w:tcW w:w="204" w:type="pct"/>
            <w:tcBorders>
              <w:top w:val="single" w:color="auto" w:sz="4" w:space="0"/>
              <w:left w:val="nil"/>
              <w:bottom w:val="single" w:color="auto" w:sz="4" w:space="0"/>
              <w:right w:val="single" w:color="auto" w:sz="4" w:space="0"/>
            </w:tcBorders>
            <w:shd w:val="clear" w:color="auto" w:fill="0070C0"/>
            <w:vAlign w:val="center"/>
          </w:tcPr>
          <w:p>
            <w:pPr>
              <w:widowControl/>
              <w:spacing w:line="240" w:lineRule="auto"/>
              <w:ind w:firstLine="0" w:firstLineChars="0"/>
              <w:jc w:val="right"/>
              <w:textAlignment w:val="center"/>
              <w:rPr>
                <w:rFonts w:ascii="Times New Roman" w:hAnsi="Times New Roman"/>
                <w:color w:val="333333"/>
                <w:kern w:val="0"/>
                <w:szCs w:val="21"/>
              </w:rPr>
            </w:pPr>
            <w:r>
              <w:rPr>
                <w:rFonts w:hint="eastAsia" w:ascii="Times New Roman" w:hAnsi="Times New Roman"/>
                <w:color w:val="333333"/>
                <w:kern w:val="0"/>
                <w:szCs w:val="21"/>
              </w:rPr>
              <w:t>672</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widowControl/>
              <w:spacing w:line="240" w:lineRule="auto"/>
              <w:ind w:firstLine="0" w:firstLineChars="0"/>
              <w:jc w:val="right"/>
              <w:textAlignment w:val="center"/>
              <w:rPr>
                <w:rFonts w:ascii="Times New Roman" w:hAnsi="Times New Roman"/>
                <w:color w:val="333333"/>
                <w:kern w:val="0"/>
                <w:szCs w:val="21"/>
              </w:rPr>
            </w:pPr>
            <w:r>
              <w:rPr>
                <w:rFonts w:hint="eastAsia" w:ascii="Times New Roman" w:hAnsi="Times New Roman"/>
                <w:color w:val="333333"/>
                <w:kern w:val="0"/>
                <w:szCs w:val="21"/>
              </w:rPr>
              <w:t>502</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widowControl/>
              <w:spacing w:line="240" w:lineRule="auto"/>
              <w:ind w:firstLine="0" w:firstLineChars="0"/>
              <w:jc w:val="right"/>
              <w:textAlignment w:val="center"/>
              <w:rPr>
                <w:rFonts w:ascii="Times New Roman" w:hAnsi="Times New Roman"/>
                <w:color w:val="333333"/>
                <w:kern w:val="0"/>
                <w:szCs w:val="21"/>
              </w:rPr>
            </w:pPr>
            <w:r>
              <w:rPr>
                <w:rFonts w:hint="eastAsia" w:ascii="Times New Roman" w:hAnsi="Times New Roman"/>
                <w:color w:val="333333"/>
                <w:kern w:val="0"/>
                <w:szCs w:val="21"/>
              </w:rPr>
              <w:t>170</w:t>
            </w:r>
          </w:p>
        </w:tc>
        <w:tc>
          <w:tcPr>
            <w:tcW w:w="228" w:type="pct"/>
            <w:tcBorders>
              <w:top w:val="single" w:color="auto" w:sz="4" w:space="0"/>
              <w:left w:val="single" w:color="auto" w:sz="4" w:space="0"/>
              <w:bottom w:val="single" w:color="auto" w:sz="4" w:space="0"/>
              <w:right w:val="nil"/>
            </w:tcBorders>
            <w:shd w:val="clear" w:color="auto" w:fill="0070C0"/>
            <w:vAlign w:val="center"/>
          </w:tcPr>
          <w:p>
            <w:pPr>
              <w:widowControl/>
              <w:spacing w:line="240" w:lineRule="auto"/>
              <w:ind w:firstLine="0" w:firstLineChars="0"/>
              <w:jc w:val="right"/>
              <w:textAlignment w:val="center"/>
              <w:rPr>
                <w:rFonts w:ascii="Times New Roman" w:hAnsi="Times New Roman"/>
                <w:color w:val="333333"/>
                <w:kern w:val="0"/>
                <w:szCs w:val="21"/>
              </w:rPr>
            </w:pPr>
            <w:r>
              <w:rPr>
                <w:rFonts w:hint="eastAsia" w:ascii="Times New Roman" w:hAnsi="Times New Roman"/>
                <w:color w:val="333333"/>
                <w:kern w:val="0"/>
                <w:szCs w:val="21"/>
              </w:rPr>
              <w:t>41</w:t>
            </w:r>
          </w:p>
        </w:tc>
        <w:tc>
          <w:tcPr>
            <w:tcW w:w="294"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20</w:t>
            </w:r>
          </w:p>
        </w:tc>
        <w:tc>
          <w:tcPr>
            <w:tcW w:w="293"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12</w:t>
            </w:r>
          </w:p>
        </w:tc>
        <w:tc>
          <w:tcPr>
            <w:tcW w:w="293" w:type="pct"/>
            <w:gridSpan w:val="3"/>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7"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专业</w:t>
            </w:r>
          </w:p>
          <w:p>
            <w:pPr>
              <w:spacing w:line="240" w:lineRule="auto"/>
              <w:ind w:firstLine="0" w:firstLineChars="0"/>
              <w:rPr>
                <w:rFonts w:ascii="Times New Roman" w:hAnsi="Times New Roman"/>
                <w:color w:val="333333"/>
                <w:kern w:val="0"/>
                <w:szCs w:val="21"/>
              </w:rPr>
            </w:pPr>
            <w:r>
              <w:rPr>
                <w:rFonts w:hint="eastAsia" w:ascii="Times New Roman" w:hAnsi="Times New Roman"/>
                <w:color w:val="333333"/>
                <w:kern w:val="0"/>
                <w:szCs w:val="21"/>
              </w:rPr>
              <w:t>基础课程</w:t>
            </w: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QXX112025</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信息安全法律法规</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QXX121073</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Python</w:t>
            </w:r>
            <w:r>
              <w:rPr>
                <w:rFonts w:hint="eastAsia" w:ascii="Times New Roman" w:hAnsi="Times New Roman"/>
                <w:color w:val="333333"/>
                <w:kern w:val="0"/>
                <w:szCs w:val="21"/>
              </w:rPr>
              <w:t>技术★</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96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 xml:space="preserve"> </w:t>
            </w: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QXX121074</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信息安全基础★</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QXX121001</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实用英语与专业英语</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QXX121076</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计算机网络技术★●</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QXX121059</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bookmarkStart w:id="193" w:name="OLE_LINK12"/>
            <w:bookmarkStart w:id="194" w:name="OLE_LINK13"/>
            <w:r>
              <w:rPr>
                <w:rFonts w:hint="eastAsia" w:ascii="Times New Roman" w:hAnsi="Times New Roman"/>
                <w:color w:val="333333"/>
                <w:kern w:val="0"/>
                <w:szCs w:val="21"/>
              </w:rPr>
              <w:t>云计算技术</w:t>
            </w:r>
            <w:bookmarkEnd w:id="193"/>
            <w:bookmarkEnd w:id="194"/>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QXX121077</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数</w:t>
            </w:r>
            <w:bookmarkStart w:id="195" w:name="OLE_LINK3"/>
            <w:r>
              <w:rPr>
                <w:rFonts w:hint="eastAsia" w:ascii="Times New Roman" w:hAnsi="Times New Roman"/>
                <w:color w:val="333333"/>
                <w:kern w:val="0"/>
                <w:szCs w:val="21"/>
              </w:rPr>
              <w:t>据库技术</w:t>
            </w:r>
            <w:bookmarkStart w:id="196" w:name="OLE_LINK10"/>
            <w:r>
              <w:rPr>
                <w:rFonts w:hint="eastAsia" w:ascii="Times New Roman" w:hAnsi="Times New Roman"/>
                <w:color w:val="333333"/>
                <w:kern w:val="0"/>
                <w:szCs w:val="21"/>
              </w:rPr>
              <w:t>★</w:t>
            </w:r>
            <w:bookmarkEnd w:id="196"/>
            <w:r>
              <w:rPr>
                <w:rFonts w:hint="eastAsia" w:ascii="Times New Roman" w:hAnsi="Times New Roman"/>
                <w:color w:val="333333"/>
                <w:kern w:val="0"/>
                <w:szCs w:val="21"/>
              </w:rPr>
              <w:t>●</w:t>
            </w:r>
            <w:bookmarkEnd w:id="195"/>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QXX112026</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HTML5+css3</w:t>
            </w:r>
            <w:r>
              <w:rPr>
                <w:rFonts w:hint="eastAsia" w:ascii="Times New Roman" w:hAnsi="Times New Roman"/>
                <w:color w:val="333333"/>
                <w:kern w:val="0"/>
                <w:szCs w:val="21"/>
              </w:rPr>
              <w:t>★</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96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QXX112027</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Linux</w:t>
            </w:r>
            <w:r>
              <w:rPr>
                <w:rFonts w:hint="eastAsia" w:ascii="Times New Roman" w:hAnsi="Times New Roman"/>
                <w:color w:val="333333"/>
                <w:kern w:val="0"/>
                <w:szCs w:val="21"/>
              </w:rPr>
              <w:t>★</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bookmarkStart w:id="197" w:name="OLE_LINK9"/>
            <w:bookmarkStart w:id="198" w:name="OLE_LINK8"/>
            <w:r>
              <w:rPr>
                <w:rFonts w:ascii="Times New Roman" w:hAnsi="Times New Roman"/>
                <w:color w:val="333333"/>
                <w:kern w:val="0"/>
                <w:szCs w:val="21"/>
              </w:rPr>
              <w:t>4</w:t>
            </w:r>
            <w:bookmarkEnd w:id="197"/>
            <w:bookmarkEnd w:id="198"/>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小计</w:t>
            </w:r>
          </w:p>
        </w:tc>
        <w:tc>
          <w:tcPr>
            <w:tcW w:w="204"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576</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352</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224</w:t>
            </w:r>
          </w:p>
        </w:tc>
        <w:tc>
          <w:tcPr>
            <w:tcW w:w="228"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26</w:t>
            </w:r>
          </w:p>
        </w:tc>
        <w:tc>
          <w:tcPr>
            <w:tcW w:w="294"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3"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14</w:t>
            </w:r>
          </w:p>
        </w:tc>
        <w:tc>
          <w:tcPr>
            <w:tcW w:w="293" w:type="pct"/>
            <w:gridSpan w:val="3"/>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14</w:t>
            </w:r>
          </w:p>
        </w:tc>
        <w:tc>
          <w:tcPr>
            <w:tcW w:w="297"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bookmarkStart w:id="199" w:name="_Hlk103961880" w:colFirst="2" w:colLast="22"/>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QXX121086</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路由与交换技术★●</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96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QXX121087</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网络安全设备管理技术★●</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bookmark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QXX121088</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Linux</w:t>
            </w:r>
            <w:r>
              <w:rPr>
                <w:rFonts w:hint="eastAsia" w:ascii="Times New Roman" w:hAnsi="Times New Roman"/>
                <w:color w:val="333333"/>
                <w:kern w:val="0"/>
                <w:szCs w:val="21"/>
              </w:rPr>
              <w:t>实用技术与安全管理</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QXX112028</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Web</w:t>
            </w:r>
            <w:bookmarkStart w:id="200" w:name="OLE_LINK4"/>
            <w:bookmarkStart w:id="201" w:name="OLE_LINK5"/>
            <w:r>
              <w:rPr>
                <w:rFonts w:hint="eastAsia" w:ascii="Times New Roman" w:hAnsi="Times New Roman"/>
                <w:color w:val="333333"/>
                <w:kern w:val="0"/>
                <w:szCs w:val="21"/>
              </w:rPr>
              <w:t>渗透●</w:t>
            </w:r>
            <w:bookmarkEnd w:id="200"/>
            <w:bookmarkEnd w:id="201"/>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96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QXX112029</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网</w:t>
            </w:r>
            <w:bookmarkStart w:id="202" w:name="OLE_LINK7"/>
            <w:bookmarkStart w:id="203" w:name="OLE_LINK6"/>
            <w:r>
              <w:rPr>
                <w:rFonts w:hint="eastAsia" w:ascii="Times New Roman" w:hAnsi="Times New Roman"/>
                <w:color w:val="333333"/>
                <w:kern w:val="0"/>
                <w:szCs w:val="21"/>
              </w:rPr>
              <w:t>页开发框</w:t>
            </w:r>
            <w:bookmarkEnd w:id="202"/>
            <w:bookmarkEnd w:id="203"/>
            <w:r>
              <w:rPr>
                <w:rFonts w:hint="eastAsia" w:ascii="Times New Roman" w:hAnsi="Times New Roman"/>
                <w:color w:val="333333"/>
                <w:kern w:val="0"/>
                <w:szCs w:val="21"/>
              </w:rPr>
              <w:t>架★</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96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QXX121104</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云安全基础</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46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QXX121104</w:t>
            </w:r>
          </w:p>
        </w:tc>
        <w:tc>
          <w:tcPr>
            <w:tcW w:w="128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网络爬虫技术</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32</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w:t>
            </w:r>
          </w:p>
        </w:tc>
        <w:tc>
          <w:tcPr>
            <w:tcW w:w="294" w:type="pct"/>
            <w:tcBorders>
              <w:top w:val="single" w:color="auto" w:sz="4" w:space="0"/>
              <w:left w:val="single" w:color="auto" w:sz="4" w:space="0"/>
              <w:bottom w:val="single" w:color="auto" w:sz="4" w:space="0"/>
              <w:right w:val="single" w:color="auto" w:sz="4" w:space="0"/>
            </w:tcBorders>
            <w:shd w:val="clear" w:color="auto" w:fill="FFC00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B0F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小计</w:t>
            </w:r>
          </w:p>
        </w:tc>
        <w:tc>
          <w:tcPr>
            <w:tcW w:w="204"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480</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224</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256</w:t>
            </w:r>
          </w:p>
        </w:tc>
        <w:tc>
          <w:tcPr>
            <w:tcW w:w="228"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p>
        </w:tc>
        <w:tc>
          <w:tcPr>
            <w:tcW w:w="294"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10</w:t>
            </w:r>
          </w:p>
        </w:tc>
        <w:tc>
          <w:tcPr>
            <w:tcW w:w="297"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18</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10</w:t>
            </w:r>
          </w:p>
        </w:tc>
        <w:tc>
          <w:tcPr>
            <w:tcW w:w="157" w:type="pct"/>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p>
        </w:tc>
        <w:tc>
          <w:tcPr>
            <w:tcW w:w="204"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1728</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1078</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650</w:t>
            </w:r>
          </w:p>
        </w:tc>
        <w:tc>
          <w:tcPr>
            <w:tcW w:w="228"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p>
        </w:tc>
        <w:tc>
          <w:tcPr>
            <w:tcW w:w="294"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26</w:t>
            </w:r>
          </w:p>
        </w:tc>
        <w:tc>
          <w:tcPr>
            <w:tcW w:w="293"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rPr>
                <w:rFonts w:ascii="Times New Roman" w:hAnsi="Times New Roman"/>
                <w:color w:val="333333"/>
                <w:kern w:val="0"/>
                <w:szCs w:val="21"/>
              </w:rPr>
            </w:pPr>
            <w:r>
              <w:rPr>
                <w:rFonts w:ascii="Times New Roman" w:hAnsi="Times New Roman"/>
                <w:color w:val="333333"/>
                <w:kern w:val="0"/>
                <w:szCs w:val="21"/>
              </w:rPr>
              <w:t>24</w:t>
            </w:r>
          </w:p>
        </w:tc>
        <w:tc>
          <w:tcPr>
            <w:tcW w:w="293" w:type="pct"/>
            <w:gridSpan w:val="3"/>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24</w:t>
            </w:r>
          </w:p>
        </w:tc>
        <w:tc>
          <w:tcPr>
            <w:tcW w:w="297"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22</w:t>
            </w:r>
          </w:p>
        </w:tc>
        <w:tc>
          <w:tcPr>
            <w:tcW w:w="292"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10</w:t>
            </w:r>
          </w:p>
        </w:tc>
        <w:tc>
          <w:tcPr>
            <w:tcW w:w="157" w:type="pct"/>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公共任选课</w:t>
            </w:r>
          </w:p>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公共限选课</w:t>
            </w:r>
          </w:p>
        </w:tc>
        <w:tc>
          <w:tcPr>
            <w:tcW w:w="1752" w:type="pct"/>
            <w:gridSpan w:val="5"/>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选修要求：最少任选</w:t>
            </w:r>
            <w:r>
              <w:rPr>
                <w:rFonts w:ascii="Times New Roman" w:hAnsi="Times New Roman"/>
                <w:color w:val="333333"/>
                <w:kern w:val="0"/>
                <w:szCs w:val="21"/>
              </w:rPr>
              <w:t>2</w:t>
            </w:r>
            <w:r>
              <w:rPr>
                <w:rFonts w:hint="eastAsia" w:ascii="Times New Roman" w:hAnsi="Times New Roman"/>
                <w:color w:val="333333"/>
                <w:kern w:val="0"/>
                <w:szCs w:val="21"/>
              </w:rPr>
              <w:t>门课程，</w:t>
            </w:r>
            <w:r>
              <w:rPr>
                <w:rFonts w:ascii="Times New Roman" w:hAnsi="Times New Roman"/>
                <w:color w:val="333333"/>
                <w:kern w:val="0"/>
                <w:szCs w:val="21"/>
              </w:rPr>
              <w:t>4</w:t>
            </w:r>
            <w:r>
              <w:rPr>
                <w:rFonts w:hint="eastAsia" w:ascii="Times New Roman" w:hAnsi="Times New Roman"/>
                <w:color w:val="333333"/>
                <w:kern w:val="0"/>
                <w:szCs w:val="21"/>
              </w:rPr>
              <w:t>学分</w:t>
            </w:r>
          </w:p>
        </w:tc>
        <w:tc>
          <w:tcPr>
            <w:tcW w:w="2684" w:type="pct"/>
            <w:gridSpan w:val="15"/>
            <w:tcBorders>
              <w:top w:val="single" w:color="auto" w:sz="4" w:space="0"/>
              <w:left w:val="single" w:color="auto" w:sz="4" w:space="0"/>
              <w:bottom w:val="single" w:color="auto" w:sz="4" w:space="0"/>
              <w:right w:val="single" w:color="auto" w:sz="4" w:space="0"/>
            </w:tcBorders>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国家安全教育</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文学鉴赏</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影视鉴赏</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创新中国</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企业绿色管理</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文献信息检索与利用</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艺术鉴赏</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常见病的健康管理</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语言学（普通话）</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中国文化概论</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论文写作初阶</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72"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小计</w:t>
            </w:r>
          </w:p>
        </w:tc>
        <w:tc>
          <w:tcPr>
            <w:tcW w:w="8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64</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restar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公共限选课</w:t>
            </w: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选修要求：最少任选</w:t>
            </w:r>
            <w:r>
              <w:rPr>
                <w:rFonts w:ascii="Times New Roman" w:hAnsi="Times New Roman"/>
                <w:color w:val="333333"/>
                <w:kern w:val="0"/>
                <w:szCs w:val="21"/>
              </w:rPr>
              <w:t>2</w:t>
            </w:r>
            <w:r>
              <w:rPr>
                <w:rFonts w:hint="eastAsia" w:ascii="Times New Roman" w:hAnsi="Times New Roman"/>
                <w:color w:val="333333"/>
                <w:kern w:val="0"/>
                <w:szCs w:val="21"/>
              </w:rPr>
              <w:t>门课程，</w:t>
            </w:r>
            <w:r>
              <w:rPr>
                <w:rFonts w:ascii="Times New Roman" w:hAnsi="Times New Roman"/>
                <w:color w:val="333333"/>
                <w:kern w:val="0"/>
                <w:szCs w:val="21"/>
              </w:rPr>
              <w:t>4</w:t>
            </w:r>
            <w:r>
              <w:rPr>
                <w:rFonts w:hint="eastAsia" w:ascii="Times New Roman" w:hAnsi="Times New Roman"/>
                <w:color w:val="333333"/>
                <w:kern w:val="0"/>
                <w:szCs w:val="21"/>
              </w:rPr>
              <w:t>学分</w:t>
            </w:r>
          </w:p>
        </w:tc>
        <w:tc>
          <w:tcPr>
            <w:tcW w:w="2684" w:type="pct"/>
            <w:gridSpan w:val="1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人文素养类</w:t>
            </w:r>
          </w:p>
        </w:tc>
        <w:tc>
          <w:tcPr>
            <w:tcW w:w="20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前沿科技类</w:t>
            </w:r>
          </w:p>
        </w:tc>
        <w:tc>
          <w:tcPr>
            <w:tcW w:w="20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马克思主义理论类</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党史国史类</w:t>
            </w:r>
          </w:p>
        </w:tc>
        <w:tc>
          <w:tcPr>
            <w:tcW w:w="20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传统文化类</w:t>
            </w:r>
          </w:p>
        </w:tc>
        <w:tc>
          <w:tcPr>
            <w:tcW w:w="20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身心健康类</w:t>
            </w:r>
          </w:p>
        </w:tc>
        <w:tc>
          <w:tcPr>
            <w:tcW w:w="20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职业素养类</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color w:val="333333"/>
                <w:kern w:val="0"/>
                <w:szCs w:val="21"/>
              </w:rPr>
            </w:pPr>
            <w:r>
              <w:rPr>
                <w:rFonts w:hint="eastAsia" w:ascii="Times New Roman" w:hAnsi="Times New Roman"/>
                <w:color w:val="333333"/>
                <w:kern w:val="0"/>
                <w:szCs w:val="21"/>
              </w:rPr>
              <w:t>2</w:t>
            </w:r>
          </w:p>
        </w:tc>
        <w:tc>
          <w:tcPr>
            <w:tcW w:w="1178"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第1-4学期</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小计</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w:t>
            </w: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3"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92"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35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1"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专业拓展课程</w:t>
            </w: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选修要求： 选修6学分</w:t>
            </w:r>
          </w:p>
        </w:tc>
        <w:tc>
          <w:tcPr>
            <w:tcW w:w="2684" w:type="pct"/>
            <w:gridSpan w:val="1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先导课程：计算机网络基础、Linux实用技术与安全管理</w:t>
            </w: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信息安全方向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QXX121094</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信息安全心理学</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QXX121096</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网络空间安全治理</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 xml:space="preserve">0 </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QXX121097</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网络流量与日志分析技术</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16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16</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QXX121098</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网络渗透测试技术</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16</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16</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QXX121099</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微服务架构</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48</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w:t>
            </w: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w:t>
            </w:r>
            <w:r>
              <w:rPr>
                <w:rFonts w:ascii="Times New Roman" w:hAnsi="Times New Roman"/>
                <w:color w:val="333333"/>
                <w:kern w:val="0"/>
                <w:szCs w:val="21"/>
              </w:rPr>
              <w:t>XX121104</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密码学</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48</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w:t>
            </w: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QXX121101</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物联网安全</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QXX121102</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无线通信安全</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QXX121103</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信息安全新技术</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 xml:space="preserve"> 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80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QXX121105</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网络安全攻防</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32</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 xml:space="preserve"> 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2</w:t>
            </w: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2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1752"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小计</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Times New Roman" w:hAnsi="Times New Roman"/>
                <w:color w:val="333333"/>
                <w:kern w:val="0"/>
                <w:szCs w:val="21"/>
              </w:rPr>
            </w:pP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6</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8</w:t>
            </w: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12</w:t>
            </w: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8</w:t>
            </w: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08" w:type="pct"/>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bookmarkStart w:id="204" w:name="_Hlk14254279" w:colFirst="0" w:colLast="18"/>
            <w:r>
              <w:rPr>
                <w:rFonts w:hint="eastAsia" w:ascii="Times New Roman" w:hAnsi="Times New Roman"/>
                <w:color w:val="333333"/>
                <w:kern w:val="0"/>
                <w:szCs w:val="21"/>
              </w:rPr>
              <w:t>集中实践模块</w:t>
            </w:r>
          </w:p>
        </w:tc>
        <w:tc>
          <w:tcPr>
            <w:tcW w:w="508"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GG111030</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军事技能训练</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48</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0</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48</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08"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GG111032</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社会实践</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48</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0</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48</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2</w:t>
            </w: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8"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p>
        </w:tc>
        <w:tc>
          <w:tcPr>
            <w:tcW w:w="508"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GG111031</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毕业设计</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64</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0</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64</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4</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4</w:t>
            </w:r>
          </w:p>
        </w:tc>
        <w:tc>
          <w:tcPr>
            <w:tcW w:w="157"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p>
            <w:pPr>
              <w:autoSpaceDE w:val="0"/>
              <w:autoSpaceDN w:val="0"/>
              <w:spacing w:line="240" w:lineRule="auto"/>
              <w:ind w:firstLine="0" w:firstLineChars="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08"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333333"/>
                <w:kern w:val="0"/>
                <w:szCs w:val="21"/>
              </w:rPr>
            </w:pPr>
            <w:bookmarkStart w:id="205" w:name="_Hlk104996858" w:colFirst="3" w:colLast="20"/>
          </w:p>
        </w:tc>
        <w:tc>
          <w:tcPr>
            <w:tcW w:w="508"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GG111029</w:t>
            </w:r>
          </w:p>
        </w:tc>
        <w:tc>
          <w:tcPr>
            <w:tcW w:w="94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岗位实习</w:t>
            </w:r>
          </w:p>
        </w:tc>
        <w:tc>
          <w:tcPr>
            <w:tcW w:w="20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720</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0</w:t>
            </w:r>
          </w:p>
        </w:tc>
        <w:tc>
          <w:tcPr>
            <w:tcW w:w="2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720</w:t>
            </w:r>
          </w:p>
        </w:tc>
        <w:tc>
          <w:tcPr>
            <w:tcW w:w="22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r>
              <w:rPr>
                <w:rFonts w:hint="eastAsia" w:ascii="Times New Roman" w:hAnsi="Times New Roman"/>
                <w:color w:val="333333"/>
                <w:kern w:val="0"/>
                <w:szCs w:val="21"/>
              </w:rPr>
              <w:t>30</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olor w:val="333333"/>
                <w:kern w:val="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r>
              <w:rPr>
                <w:rFonts w:ascii="Times New Roman" w:hAnsi="Times New Roman"/>
                <w:color w:val="333333"/>
                <w:kern w:val="0"/>
                <w:szCs w:val="21"/>
              </w:rPr>
              <w:t>30</w:t>
            </w: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333333"/>
                <w:kern w:val="0"/>
                <w:szCs w:val="21"/>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bookmark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08"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Ansi="宋体" w:cs="宋体"/>
                <w:color w:val="000000"/>
                <w:szCs w:val="21"/>
              </w:rPr>
            </w:pPr>
          </w:p>
        </w:tc>
        <w:tc>
          <w:tcPr>
            <w:tcW w:w="1451"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宋体" w:cs="宋体"/>
                <w:color w:val="000000"/>
                <w:szCs w:val="21"/>
              </w:rPr>
            </w:pPr>
            <w:r>
              <w:rPr>
                <w:rFonts w:hint="eastAsia" w:hAnsi="宋体" w:cs="宋体"/>
                <w:color w:val="000000"/>
                <w:szCs w:val="21"/>
              </w:rPr>
              <w:t>小计</w:t>
            </w:r>
          </w:p>
        </w:tc>
        <w:tc>
          <w:tcPr>
            <w:tcW w:w="20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hAnsi="宋体" w:cs="宋体"/>
                <w:color w:val="000000"/>
                <w:szCs w:val="21"/>
              </w:rPr>
            </w:pPr>
            <w:r>
              <w:rPr>
                <w:rFonts w:hint="eastAsia" w:hAnsi="宋体" w:cs="宋体"/>
                <w:color w:val="000000"/>
                <w:szCs w:val="21"/>
              </w:rPr>
              <w:t>880</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hAnsi="宋体" w:cs="宋体"/>
                <w:color w:val="000000"/>
                <w:szCs w:val="21"/>
              </w:rPr>
            </w:pPr>
            <w:r>
              <w:rPr>
                <w:rFonts w:hint="eastAsia" w:hAnsi="宋体" w:cs="宋体"/>
                <w:color w:val="000000"/>
                <w:szCs w:val="21"/>
              </w:rPr>
              <w:t>0</w:t>
            </w:r>
          </w:p>
        </w:tc>
        <w:tc>
          <w:tcPr>
            <w:tcW w:w="21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hAnsi="宋体" w:cs="宋体"/>
                <w:color w:val="000000"/>
                <w:szCs w:val="21"/>
              </w:rPr>
            </w:pPr>
            <w:r>
              <w:rPr>
                <w:rFonts w:hint="eastAsia" w:hAnsi="宋体" w:cs="宋体"/>
                <w:color w:val="000000"/>
                <w:szCs w:val="21"/>
              </w:rPr>
              <w:t>880</w:t>
            </w:r>
          </w:p>
        </w:tc>
        <w:tc>
          <w:tcPr>
            <w:tcW w:w="22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hAnsi="宋体" w:cs="宋体"/>
                <w:color w:val="000000"/>
                <w:szCs w:val="21"/>
              </w:rPr>
            </w:pPr>
            <w:r>
              <w:rPr>
                <w:rFonts w:hint="eastAsia" w:hAnsi="宋体" w:cs="宋体"/>
                <w:color w:val="000000"/>
                <w:szCs w:val="21"/>
              </w:rPr>
              <w:t>38</w:t>
            </w:r>
          </w:p>
        </w:tc>
        <w:tc>
          <w:tcPr>
            <w:tcW w:w="30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宋体" w:cs="宋体"/>
                <w:color w:val="000000"/>
                <w:szCs w:val="21"/>
              </w:rPr>
            </w:pPr>
          </w:p>
        </w:tc>
        <w:tc>
          <w:tcPr>
            <w:tcW w:w="28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宋体" w:cs="宋体"/>
                <w:color w:val="000000"/>
                <w:szCs w:val="21"/>
              </w:rPr>
            </w:pPr>
          </w:p>
        </w:tc>
        <w:tc>
          <w:tcPr>
            <w:tcW w:w="2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宋体" w:cs="宋体"/>
                <w:color w:val="000000"/>
                <w:szCs w:val="21"/>
              </w:rPr>
            </w:pPr>
          </w:p>
        </w:tc>
        <w:tc>
          <w:tcPr>
            <w:tcW w:w="269"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宋体" w:cs="宋体"/>
                <w:color w:val="000000"/>
                <w:szCs w:val="21"/>
              </w:rPr>
            </w:pPr>
          </w:p>
        </w:tc>
        <w:tc>
          <w:tcPr>
            <w:tcW w:w="26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c>
          <w:tcPr>
            <w:tcW w:w="438"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c>
          <w:tcPr>
            <w:tcW w:w="1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Times New Roman" w:hAnsi="Times New Roman"/>
                <w:color w:val="000000"/>
                <w:spacing w:val="-20"/>
                <w:sz w:val="18"/>
                <w:szCs w:val="18"/>
              </w:rPr>
            </w:pPr>
          </w:p>
        </w:tc>
      </w:tr>
      <w:bookmark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159" w:type="pct"/>
            <w:gridSpan w:val="7"/>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hAnsi="宋体" w:cs="宋体"/>
                <w:color w:val="000000"/>
                <w:szCs w:val="21"/>
              </w:rPr>
            </w:pPr>
            <w:r>
              <w:rPr>
                <w:rFonts w:hint="eastAsia" w:hAnsi="宋体" w:cs="宋体"/>
                <w:color w:val="000000"/>
                <w:szCs w:val="21"/>
              </w:rPr>
              <w:t>总计</w:t>
            </w:r>
          </w:p>
        </w:tc>
        <w:tc>
          <w:tcPr>
            <w:tcW w:w="204" w:type="pct"/>
            <w:tcBorders>
              <w:top w:val="single" w:color="auto" w:sz="4" w:space="0"/>
              <w:left w:val="single" w:color="auto" w:sz="4" w:space="0"/>
              <w:bottom w:val="single" w:color="auto" w:sz="4" w:space="0"/>
              <w:right w:val="single" w:color="auto" w:sz="4" w:space="0"/>
            </w:tcBorders>
            <w:shd w:val="clear" w:color="auto" w:fill="0070C0"/>
            <w:vAlign w:val="center"/>
          </w:tcPr>
          <w:p>
            <w:pPr>
              <w:widowControl/>
              <w:spacing w:line="240" w:lineRule="auto"/>
              <w:ind w:firstLine="0" w:firstLineChars="0"/>
              <w:jc w:val="right"/>
              <w:textAlignment w:val="center"/>
              <w:rPr>
                <w:rFonts w:hAnsi="宋体" w:cs="宋体"/>
                <w:color w:val="000000"/>
                <w:sz w:val="15"/>
                <w:szCs w:val="15"/>
              </w:rPr>
            </w:pPr>
            <w:r>
              <w:rPr>
                <w:rFonts w:hint="eastAsia" w:hAnsi="宋体" w:cs="宋体"/>
                <w:color w:val="000000"/>
                <w:kern w:val="0"/>
                <w:sz w:val="20"/>
                <w:szCs w:val="20"/>
                <w:lang w:bidi="ar"/>
              </w:rPr>
              <w:t>2464</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widowControl/>
              <w:spacing w:line="240" w:lineRule="auto"/>
              <w:ind w:firstLine="0" w:firstLineChars="0"/>
              <w:jc w:val="right"/>
              <w:textAlignment w:val="center"/>
              <w:rPr>
                <w:rFonts w:hAnsi="宋体" w:cs="宋体"/>
                <w:color w:val="000000"/>
                <w:sz w:val="15"/>
                <w:szCs w:val="15"/>
              </w:rPr>
            </w:pPr>
            <w:r>
              <w:rPr>
                <w:rFonts w:hint="eastAsia" w:hAnsi="宋体" w:cs="宋体"/>
                <w:color w:val="000000"/>
                <w:kern w:val="0"/>
                <w:sz w:val="20"/>
                <w:szCs w:val="20"/>
                <w:lang w:bidi="ar"/>
              </w:rPr>
              <w:t>1142</w:t>
            </w:r>
          </w:p>
        </w:tc>
        <w:tc>
          <w:tcPr>
            <w:tcW w:w="215" w:type="pct"/>
            <w:tcBorders>
              <w:top w:val="single" w:color="auto" w:sz="4" w:space="0"/>
              <w:left w:val="single" w:color="auto" w:sz="4" w:space="0"/>
              <w:bottom w:val="single" w:color="auto" w:sz="4" w:space="0"/>
              <w:right w:val="single" w:color="auto" w:sz="4" w:space="0"/>
            </w:tcBorders>
            <w:shd w:val="clear" w:color="auto" w:fill="0070C0"/>
            <w:vAlign w:val="center"/>
          </w:tcPr>
          <w:p>
            <w:pPr>
              <w:widowControl/>
              <w:spacing w:line="240" w:lineRule="auto"/>
              <w:ind w:firstLine="0" w:firstLineChars="0"/>
              <w:jc w:val="right"/>
              <w:textAlignment w:val="center"/>
              <w:rPr>
                <w:rFonts w:hAnsi="宋体" w:cs="宋体"/>
                <w:color w:val="000000"/>
                <w:sz w:val="15"/>
                <w:szCs w:val="15"/>
              </w:rPr>
            </w:pPr>
            <w:r>
              <w:rPr>
                <w:rFonts w:hint="eastAsia" w:hAnsi="宋体" w:cs="宋体"/>
                <w:color w:val="000000"/>
                <w:kern w:val="0"/>
                <w:sz w:val="20"/>
                <w:szCs w:val="20"/>
                <w:lang w:bidi="ar"/>
              </w:rPr>
              <w:t>1386</w:t>
            </w:r>
          </w:p>
        </w:tc>
        <w:tc>
          <w:tcPr>
            <w:tcW w:w="228" w:type="pct"/>
            <w:tcBorders>
              <w:top w:val="single" w:color="auto" w:sz="4" w:space="0"/>
              <w:left w:val="single" w:color="auto" w:sz="4" w:space="0"/>
              <w:bottom w:val="single" w:color="auto" w:sz="4" w:space="0"/>
              <w:right w:val="single" w:color="auto" w:sz="4" w:space="0"/>
            </w:tcBorders>
            <w:shd w:val="clear" w:color="auto" w:fill="0070C0"/>
            <w:vAlign w:val="center"/>
          </w:tcPr>
          <w:p>
            <w:pPr>
              <w:widowControl/>
              <w:spacing w:line="240" w:lineRule="auto"/>
              <w:ind w:firstLine="0" w:firstLineChars="0"/>
              <w:jc w:val="right"/>
              <w:textAlignment w:val="center"/>
              <w:rPr>
                <w:rFonts w:hAnsi="宋体" w:cs="宋体"/>
                <w:color w:val="000000"/>
                <w:sz w:val="15"/>
                <w:szCs w:val="15"/>
              </w:rPr>
            </w:pPr>
            <w:r>
              <w:rPr>
                <w:rFonts w:hint="eastAsia" w:hAnsi="宋体" w:cs="宋体"/>
                <w:color w:val="000000"/>
                <w:kern w:val="0"/>
                <w:sz w:val="20"/>
                <w:szCs w:val="20"/>
                <w:lang w:bidi="ar"/>
              </w:rPr>
              <w:t>162</w:t>
            </w:r>
          </w:p>
        </w:tc>
        <w:tc>
          <w:tcPr>
            <w:tcW w:w="309"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hAnsi="宋体" w:cs="宋体"/>
                <w:color w:val="000000"/>
                <w:szCs w:val="21"/>
              </w:rPr>
            </w:pPr>
          </w:p>
        </w:tc>
        <w:tc>
          <w:tcPr>
            <w:tcW w:w="281"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hAnsi="宋体" w:cs="宋体"/>
                <w:color w:val="000000"/>
                <w:szCs w:val="21"/>
              </w:rPr>
            </w:pPr>
          </w:p>
        </w:tc>
        <w:tc>
          <w:tcPr>
            <w:tcW w:w="257" w:type="pct"/>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hAnsi="宋体" w:cs="宋体"/>
                <w:color w:val="000000"/>
                <w:szCs w:val="21"/>
              </w:rPr>
            </w:pPr>
          </w:p>
        </w:tc>
        <w:tc>
          <w:tcPr>
            <w:tcW w:w="269"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line="240" w:lineRule="auto"/>
              <w:ind w:firstLine="0" w:firstLineChars="0"/>
              <w:jc w:val="center"/>
              <w:rPr>
                <w:rFonts w:hAnsi="宋体" w:cs="宋体"/>
                <w:color w:val="000000"/>
                <w:szCs w:val="21"/>
              </w:rPr>
            </w:pPr>
          </w:p>
        </w:tc>
        <w:tc>
          <w:tcPr>
            <w:tcW w:w="267"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c>
          <w:tcPr>
            <w:tcW w:w="438"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c>
          <w:tcPr>
            <w:tcW w:w="15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ascii="Times New Roman" w:hAnsi="Times New Roman"/>
                <w:color w:val="000000"/>
                <w:spacing w:val="-20"/>
                <w:sz w:val="18"/>
                <w:szCs w:val="18"/>
              </w:rPr>
            </w:pPr>
          </w:p>
        </w:tc>
      </w:tr>
    </w:tbl>
    <w:p>
      <w:pPr>
        <w:pStyle w:val="101"/>
        <w:ind w:firstLine="560"/>
        <w:sectPr>
          <w:pgSz w:w="16838" w:h="11906" w:orient="landscape"/>
          <w:pgMar w:top="1797" w:right="1440" w:bottom="1797" w:left="1440" w:header="851" w:footer="794" w:gutter="0"/>
          <w:cols w:space="425" w:num="1"/>
          <w:docGrid w:type="linesAndChars" w:linePitch="317" w:charSpace="0"/>
        </w:sectPr>
      </w:pPr>
    </w:p>
    <w:p>
      <w:pPr>
        <w:pStyle w:val="92"/>
      </w:pPr>
      <w:bookmarkStart w:id="206" w:name="_Toc99220922"/>
      <w:bookmarkStart w:id="207" w:name="_Toc99220061"/>
      <w:bookmarkStart w:id="208" w:name="_Toc93520576"/>
      <w:bookmarkStart w:id="209" w:name="_Toc99219076"/>
      <w:bookmarkStart w:id="210" w:name="_Toc99222631"/>
      <w:r>
        <w:rPr>
          <w:rFonts w:hint="eastAsia"/>
        </w:rPr>
        <w:t>（二）素养提升课程设置</w:t>
      </w:r>
      <w:bookmarkEnd w:id="206"/>
      <w:bookmarkEnd w:id="207"/>
      <w:bookmarkEnd w:id="208"/>
      <w:bookmarkEnd w:id="209"/>
      <w:bookmarkEnd w:id="210"/>
    </w:p>
    <w:p>
      <w:pPr>
        <w:pStyle w:val="101"/>
        <w:ind w:firstLine="560"/>
      </w:pPr>
      <w:r>
        <w:t>由教务处统一组织</w:t>
      </w:r>
      <w:r>
        <w:rPr>
          <w:rFonts w:hint="eastAsia"/>
        </w:rPr>
        <w:t>并</w:t>
      </w:r>
      <w:r>
        <w:t>通过</w:t>
      </w:r>
      <w:r>
        <w:rPr>
          <w:rFonts w:hint="eastAsia"/>
        </w:rPr>
        <w:t>教务系统在线</w:t>
      </w:r>
      <w:r>
        <w:t>选课。</w:t>
      </w:r>
      <w:r>
        <w:rPr>
          <w:rFonts w:hint="eastAsia"/>
        </w:rPr>
        <w:t>选课前应事先了解毕业最低学分要求和已获得公共任选课、公共限选课学分数。</w:t>
      </w:r>
    </w:p>
    <w:p>
      <w:pPr>
        <w:pStyle w:val="101"/>
        <w:ind w:firstLine="560"/>
      </w:pPr>
      <w:r>
        <w:rPr>
          <w:rFonts w:hint="eastAsia"/>
        </w:rPr>
        <w:t>不得修学：</w:t>
      </w:r>
    </w:p>
    <w:p>
      <w:pPr>
        <w:pStyle w:val="101"/>
        <w:ind w:firstLine="560"/>
      </w:pPr>
      <w:r>
        <w:rPr>
          <w:rFonts w:hint="eastAsia"/>
        </w:rPr>
        <w:t>1</w:t>
      </w:r>
      <w:r>
        <w:t xml:space="preserve">. </w:t>
      </w:r>
      <w:r>
        <w:rPr>
          <w:rFonts w:hint="eastAsia"/>
        </w:rPr>
        <w:t>与本专业教学计划中的必修课程、专业群选修名称及内容相同的课程，否则不予记载学分；</w:t>
      </w:r>
    </w:p>
    <w:p>
      <w:pPr>
        <w:pStyle w:val="101"/>
        <w:ind w:firstLine="560"/>
      </w:pPr>
      <w:r>
        <w:t xml:space="preserve">2. </w:t>
      </w:r>
      <w:r>
        <w:rPr>
          <w:rFonts w:hint="eastAsia"/>
        </w:rPr>
        <w:t>已考核通过的公共任选、限选课程，否则不予记载学分。</w:t>
      </w:r>
    </w:p>
    <w:p>
      <w:pPr>
        <w:pStyle w:val="89"/>
      </w:pPr>
      <w:r>
        <w:rPr>
          <w:rFonts w:hint="eastAsia"/>
        </w:rPr>
        <w:t>表</w:t>
      </w:r>
      <w:r>
        <w:t>9</w:t>
      </w:r>
      <w:r>
        <w:rPr>
          <w:rFonts w:hint="eastAsia"/>
        </w:rPr>
        <w:t xml:space="preserve"> </w:t>
      </w:r>
      <w:r>
        <w:t xml:space="preserve"> </w:t>
      </w:r>
      <w:r>
        <w:rPr>
          <w:rFonts w:hint="eastAsia"/>
        </w:rPr>
        <w:t>素养提升课程一览表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1932"/>
        <w:gridCol w:w="1327"/>
        <w:gridCol w:w="873"/>
        <w:gridCol w:w="873"/>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465" w:type="pct"/>
            <w:vAlign w:val="center"/>
          </w:tcPr>
          <w:p>
            <w:pPr>
              <w:pStyle w:val="99"/>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类别</w:t>
            </w:r>
          </w:p>
        </w:tc>
        <w:tc>
          <w:tcPr>
            <w:tcW w:w="465" w:type="pct"/>
            <w:vAlign w:val="center"/>
          </w:tcPr>
          <w:p>
            <w:pPr>
              <w:pStyle w:val="99"/>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133" w:type="pct"/>
            <w:vAlign w:val="center"/>
          </w:tcPr>
          <w:p>
            <w:pPr>
              <w:pStyle w:val="99"/>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课程类别</w:t>
            </w:r>
          </w:p>
        </w:tc>
        <w:tc>
          <w:tcPr>
            <w:tcW w:w="778" w:type="pct"/>
            <w:vAlign w:val="center"/>
          </w:tcPr>
          <w:p>
            <w:pPr>
              <w:pStyle w:val="99"/>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开设学期</w:t>
            </w:r>
          </w:p>
        </w:tc>
        <w:tc>
          <w:tcPr>
            <w:tcW w:w="512" w:type="pct"/>
            <w:vAlign w:val="center"/>
          </w:tcPr>
          <w:p>
            <w:pPr>
              <w:pStyle w:val="99"/>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学分</w:t>
            </w:r>
          </w:p>
        </w:tc>
        <w:tc>
          <w:tcPr>
            <w:tcW w:w="512" w:type="pct"/>
            <w:vAlign w:val="center"/>
          </w:tcPr>
          <w:p>
            <w:pPr>
              <w:pStyle w:val="99"/>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学时</w:t>
            </w:r>
          </w:p>
        </w:tc>
        <w:tc>
          <w:tcPr>
            <w:tcW w:w="1135" w:type="pct"/>
            <w:vAlign w:val="center"/>
          </w:tcPr>
          <w:p>
            <w:pPr>
              <w:pStyle w:val="99"/>
              <w:framePr w:hSpace="0" w:wrap="auto" w:vAnchor="margin" w:hAnchor="text" w:xAlign="left" w:yAlign="inline"/>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5" w:type="pct"/>
            <w:vMerge w:val="restar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公共任选课</w:t>
            </w: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国家安全教育</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restar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文学鉴赏</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影视鉴赏</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创新中国</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企业绿色管理</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文献信息检索与利用</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艺术鉴赏</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常见病的健康管理</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语言学（普通话）</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0</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中国文化概论</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论文写作初阶</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restar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公共限选课</w:t>
            </w: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2</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人文素养类</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restar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每位学生公共限选课程总学分数最少4学分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3</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前沿科技类</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4</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马克思主义理论类</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5</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党史国史类</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6</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传统文化类</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身心健康类</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c>
          <w:tcPr>
            <w:tcW w:w="465"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w:t>
            </w:r>
          </w:p>
        </w:tc>
        <w:tc>
          <w:tcPr>
            <w:tcW w:w="1133"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职业素养类</w:t>
            </w:r>
          </w:p>
        </w:tc>
        <w:tc>
          <w:tcPr>
            <w:tcW w:w="778"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学期</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2" w:type="pct"/>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p>
        </w:tc>
        <w:tc>
          <w:tcPr>
            <w:tcW w:w="1135" w:type="pct"/>
            <w:vMerge w:val="continue"/>
            <w:vAlign w:val="center"/>
          </w:tcPr>
          <w:p>
            <w:pPr>
              <w:pStyle w:val="99"/>
              <w:framePr w:hSpace="0" w:wrap="auto" w:vAnchor="margin" w:hAnchor="text" w:xAlign="left" w:yAlign="inline"/>
              <w:jc w:val="center"/>
              <w:rPr>
                <w:rFonts w:ascii="宋体" w:hAnsi="宋体"/>
                <w:color w:val="000000" w:themeColor="text1"/>
                <w14:textFill>
                  <w14:solidFill>
                    <w14:schemeClr w14:val="tx1"/>
                  </w14:solidFill>
                </w14:textFill>
              </w:rPr>
            </w:pPr>
          </w:p>
        </w:tc>
      </w:tr>
    </w:tbl>
    <w:p>
      <w:pPr>
        <w:pStyle w:val="90"/>
      </w:pPr>
      <w:bookmarkStart w:id="211" w:name="_Toc93520577"/>
      <w:bookmarkStart w:id="212" w:name="_Toc99222632"/>
      <w:bookmarkStart w:id="213" w:name="_Toc99220062"/>
      <w:bookmarkStart w:id="214" w:name="_Toc99220923"/>
      <w:bookmarkStart w:id="215" w:name="_Toc99219077"/>
      <w:r>
        <w:t>十二、</w:t>
      </w:r>
      <w:r>
        <w:rPr>
          <w:rFonts w:hint="eastAsia"/>
        </w:rPr>
        <w:t>实施保障</w:t>
      </w:r>
      <w:bookmarkEnd w:id="211"/>
      <w:bookmarkEnd w:id="212"/>
      <w:bookmarkEnd w:id="213"/>
      <w:bookmarkEnd w:id="214"/>
      <w:bookmarkEnd w:id="215"/>
    </w:p>
    <w:p>
      <w:pPr>
        <w:pStyle w:val="92"/>
      </w:pPr>
      <w:bookmarkStart w:id="216" w:name="_Toc99220063"/>
      <w:bookmarkStart w:id="217" w:name="_Toc46303727"/>
      <w:bookmarkStart w:id="218" w:name="_Toc93520578"/>
      <w:bookmarkStart w:id="219" w:name="_Toc99222633"/>
      <w:bookmarkStart w:id="220" w:name="_Toc99220924"/>
      <w:bookmarkStart w:id="221" w:name="_Toc99219078"/>
      <w:r>
        <w:t>（</w:t>
      </w:r>
      <w:r>
        <w:rPr>
          <w:rFonts w:hint="eastAsia"/>
        </w:rPr>
        <w:t>一</w:t>
      </w:r>
      <w:r>
        <w:t>）师资队伍</w:t>
      </w:r>
      <w:bookmarkEnd w:id="216"/>
      <w:bookmarkEnd w:id="217"/>
      <w:bookmarkEnd w:id="218"/>
      <w:bookmarkEnd w:id="219"/>
      <w:bookmarkEnd w:id="220"/>
      <w:bookmarkEnd w:id="221"/>
    </w:p>
    <w:p>
      <w:pPr>
        <w:pStyle w:val="94"/>
      </w:pPr>
      <w:r>
        <w:rPr>
          <w:rFonts w:hint="eastAsia"/>
        </w:rPr>
        <w:t>1.</w:t>
      </w:r>
      <w:r>
        <w:t xml:space="preserve"> </w:t>
      </w:r>
      <w:r>
        <w:rPr>
          <w:rFonts w:hint="eastAsia"/>
        </w:rPr>
        <w:t>基本情况</w:t>
      </w:r>
    </w:p>
    <w:p>
      <w:pPr>
        <w:pStyle w:val="101"/>
        <w:ind w:firstLine="560"/>
        <w:rPr>
          <w:rFonts w:ascii="宋体" w:hAnsi="宋体"/>
          <w:color w:val="000000"/>
        </w:rPr>
      </w:pPr>
      <w:r>
        <w:rPr>
          <w:rFonts w:hint="eastAsia"/>
        </w:rPr>
        <w:t>计算机网络技术专业师资有</w:t>
      </w:r>
      <w:r>
        <w:t>于美虹、</w:t>
      </w:r>
      <w:r>
        <w:rPr>
          <w:rFonts w:hint="eastAsia"/>
        </w:rPr>
        <w:t>董世菁</w:t>
      </w:r>
      <w:r>
        <w:t>、杨文瑾、张瑞荣、路建设等</w:t>
      </w:r>
      <w:r>
        <w:rPr>
          <w:rFonts w:hint="eastAsia"/>
        </w:rPr>
        <w:t>2</w:t>
      </w:r>
      <w:r>
        <w:t>7</w:t>
      </w:r>
      <w:r>
        <w:rPr>
          <w:rFonts w:hint="eastAsia"/>
        </w:rPr>
        <w:t>人，其中有两位教师有企业</w:t>
      </w:r>
      <w:r>
        <w:t>工作经历</w:t>
      </w:r>
      <w:r>
        <w:rPr>
          <w:rFonts w:hint="eastAsia"/>
        </w:rPr>
        <w:t>，接触社会新兴技能，从企业聘请了三位</w:t>
      </w:r>
      <w:r>
        <w:t>兼职教师</w:t>
      </w:r>
      <w:r>
        <w:rPr>
          <w:rFonts w:hint="eastAsia"/>
        </w:rPr>
        <w:t>。</w:t>
      </w:r>
    </w:p>
    <w:p>
      <w:pPr>
        <w:pStyle w:val="94"/>
      </w:pPr>
      <w:r>
        <w:rPr>
          <w:rFonts w:hint="eastAsia"/>
        </w:rPr>
        <w:t>2.</w:t>
      </w:r>
      <w:r>
        <w:t xml:space="preserve"> </w:t>
      </w:r>
      <w:r>
        <w:rPr>
          <w:rFonts w:hint="eastAsia"/>
        </w:rPr>
        <w:t>专任教师</w:t>
      </w:r>
    </w:p>
    <w:p>
      <w:pPr>
        <w:pStyle w:val="96"/>
      </w:pPr>
      <w:r>
        <w:rPr>
          <w:rFonts w:hint="eastAsia"/>
        </w:rPr>
        <w:t>①专业带头人</w:t>
      </w:r>
    </w:p>
    <w:p>
      <w:pPr>
        <w:pStyle w:val="101"/>
        <w:ind w:firstLine="560"/>
      </w:pPr>
      <w:r>
        <w:rPr>
          <w:rFonts w:hint="eastAsia"/>
        </w:rPr>
        <w:t>张宝峰副教授从事网络教学十三年，有着丰富的课堂教学经验，多次组织编写教材，发表专业论文，并多次带领学生参加网络技术大赛取得优异成绩。</w:t>
      </w:r>
    </w:p>
    <w:p>
      <w:pPr>
        <w:pStyle w:val="94"/>
      </w:pPr>
      <w:r>
        <w:rPr>
          <w:rFonts w:hint="eastAsia"/>
        </w:rPr>
        <w:t>②双师素质与骨干教师</w:t>
      </w:r>
    </w:p>
    <w:p>
      <w:pPr>
        <w:pStyle w:val="101"/>
        <w:ind w:firstLine="560"/>
      </w:pPr>
      <w:r>
        <w:rPr>
          <w:rFonts w:hint="eastAsia"/>
        </w:rPr>
        <w:t>在专任教师</w:t>
      </w:r>
      <w:r>
        <w:t>中，高级职称</w:t>
      </w:r>
      <w:r>
        <w:rPr>
          <w:rFonts w:hint="eastAsia"/>
        </w:rPr>
        <w:t>5人</w:t>
      </w:r>
      <w:r>
        <w:t>，占总人数26.67</w:t>
      </w:r>
      <w:r>
        <w:rPr>
          <w:rFonts w:hint="eastAsia"/>
        </w:rPr>
        <w:t>%，</w:t>
      </w:r>
      <w:r>
        <w:t>中级职称</w:t>
      </w:r>
      <w:r>
        <w:rPr>
          <w:rFonts w:hint="eastAsia"/>
        </w:rPr>
        <w:t>8人</w:t>
      </w:r>
      <w:r>
        <w:t>，占总人数的16.67</w:t>
      </w:r>
      <w:r>
        <w:rPr>
          <w:rFonts w:hint="eastAsia"/>
        </w:rPr>
        <w:t>%，双师型教师12人，占教师总人数的</w:t>
      </w:r>
      <w:r>
        <w:t>40</w:t>
      </w:r>
      <w:r>
        <w:rPr>
          <w:rFonts w:hint="eastAsia"/>
        </w:rPr>
        <w:t>%，并形成了合理、科学的学术梯队。</w:t>
      </w:r>
    </w:p>
    <w:p>
      <w:pPr>
        <w:pStyle w:val="94"/>
      </w:pPr>
      <w:r>
        <w:rPr>
          <w:rFonts w:hint="eastAsia"/>
        </w:rPr>
        <w:t>3.</w:t>
      </w:r>
      <w:r>
        <w:t xml:space="preserve"> </w:t>
      </w:r>
      <w:r>
        <w:rPr>
          <w:rFonts w:hint="eastAsia"/>
        </w:rPr>
        <w:t>兼职教师</w:t>
      </w:r>
    </w:p>
    <w:p>
      <w:pPr>
        <w:pStyle w:val="101"/>
        <w:ind w:firstLine="560"/>
      </w:pPr>
      <w:r>
        <w:rPr>
          <w:rFonts w:hint="eastAsia"/>
        </w:rPr>
        <w:t>主要从信息安全相关企业聘任，具备良好的思想政治素质、职业道德和工匠精神，具有扎实的信息安全专业知识和丰富的的实际工作经验，具有中级及以上相关专业职称，能承担专业课程教学、实习实训指导和学生职业发展规划指导等教学任务。</w:t>
      </w:r>
    </w:p>
    <w:p>
      <w:pPr>
        <w:pStyle w:val="92"/>
      </w:pPr>
      <w:bookmarkStart w:id="222" w:name="_Toc99220064"/>
      <w:bookmarkStart w:id="223" w:name="_Toc93520579"/>
      <w:bookmarkStart w:id="224" w:name="_Toc99220925"/>
      <w:bookmarkStart w:id="225" w:name="_Toc46303728"/>
      <w:bookmarkStart w:id="226" w:name="_Toc99222634"/>
      <w:bookmarkStart w:id="227" w:name="_Toc99219079"/>
      <w:r>
        <w:t>（</w:t>
      </w:r>
      <w:r>
        <w:rPr>
          <w:rFonts w:hint="eastAsia"/>
        </w:rPr>
        <w:t>二</w:t>
      </w:r>
      <w:r>
        <w:t>）</w:t>
      </w:r>
      <w:r>
        <w:rPr>
          <w:rFonts w:hint="eastAsia"/>
        </w:rPr>
        <w:t>教学设施</w:t>
      </w:r>
      <w:bookmarkEnd w:id="222"/>
      <w:bookmarkEnd w:id="223"/>
      <w:bookmarkEnd w:id="224"/>
      <w:bookmarkEnd w:id="225"/>
      <w:bookmarkEnd w:id="226"/>
      <w:bookmarkEnd w:id="227"/>
    </w:p>
    <w:p>
      <w:pPr>
        <w:pStyle w:val="94"/>
      </w:pPr>
      <w:bookmarkStart w:id="228" w:name="_Toc407696165"/>
      <w:bookmarkStart w:id="229" w:name="_Toc405393407"/>
      <w:bookmarkStart w:id="230" w:name="_Toc407697923"/>
      <w:r>
        <w:rPr>
          <w:rFonts w:hint="eastAsia"/>
        </w:rPr>
        <w:t>1.</w:t>
      </w:r>
      <w:r>
        <w:t xml:space="preserve"> </w:t>
      </w:r>
      <w:r>
        <w:rPr>
          <w:rFonts w:hint="eastAsia"/>
        </w:rPr>
        <w:t>专业教室基本条件</w:t>
      </w:r>
    </w:p>
    <w:p>
      <w:pPr>
        <w:pStyle w:val="101"/>
        <w:ind w:firstLine="560"/>
        <w:rPr>
          <w:rFonts w:ascii="宋体" w:hAnsi="宋体"/>
        </w:rPr>
      </w:pPr>
      <w:r>
        <w:rPr>
          <w:rFonts w:hint="eastAsia"/>
        </w:rPr>
        <w:t>配备黑（白）板、多媒体计算机、投影设备、音响设备，互联网接入或WiFi 环境，并具有网络安全防护措施。安装应急照明装置并保持良好状态，符合紧急疏散要求、标志明显、保持逃生通道畅通无阻。</w:t>
      </w:r>
    </w:p>
    <w:p>
      <w:pPr>
        <w:pStyle w:val="94"/>
      </w:pPr>
      <w:r>
        <w:rPr>
          <w:rFonts w:hint="eastAsia"/>
        </w:rPr>
        <w:t>2.</w:t>
      </w:r>
      <w:r>
        <w:t xml:space="preserve"> </w:t>
      </w:r>
      <w:r>
        <w:rPr>
          <w:rFonts w:hint="eastAsia"/>
        </w:rPr>
        <w:t>校内实践教学条件</w:t>
      </w:r>
      <w:bookmarkEnd w:id="228"/>
      <w:bookmarkEnd w:id="229"/>
      <w:bookmarkEnd w:id="230"/>
    </w:p>
    <w:p>
      <w:pPr>
        <w:pStyle w:val="101"/>
        <w:ind w:firstLine="560"/>
      </w:pPr>
      <w:r>
        <w:rPr>
          <w:rFonts w:hint="eastAsia"/>
        </w:rPr>
        <w:t>建有网络实验室、网络安全实验室、物联网实验室、计算机拆装实验室等四个校内实训室。</w:t>
      </w:r>
    </w:p>
    <w:p>
      <w:pPr>
        <w:pStyle w:val="89"/>
      </w:pPr>
      <w:r>
        <w:rPr>
          <w:rFonts w:hint="eastAsia"/>
        </w:rPr>
        <w:t>表</w:t>
      </w:r>
      <w:r>
        <w:t>10</w:t>
      </w:r>
      <w:r>
        <w:rPr>
          <w:rFonts w:hint="eastAsia"/>
        </w:rPr>
        <w:t xml:space="preserve">   实训室功能表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861"/>
        <w:gridCol w:w="1434"/>
        <w:gridCol w:w="1035"/>
        <w:gridCol w:w="1428"/>
        <w:gridCol w:w="1909"/>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3" w:type="pct"/>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序号</w:t>
            </w:r>
          </w:p>
        </w:tc>
        <w:tc>
          <w:tcPr>
            <w:tcW w:w="505" w:type="pct"/>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校内实训室名称</w:t>
            </w:r>
          </w:p>
        </w:tc>
        <w:tc>
          <w:tcPr>
            <w:tcW w:w="841" w:type="pct"/>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主要设备</w:t>
            </w:r>
          </w:p>
        </w:tc>
        <w:tc>
          <w:tcPr>
            <w:tcW w:w="607" w:type="pct"/>
            <w:vAlign w:val="center"/>
          </w:tcPr>
          <w:p>
            <w:pPr>
              <w:pStyle w:val="99"/>
              <w:framePr w:hSpace="0" w:wrap="auto" w:vAnchor="margin" w:hAnchor="text" w:xAlign="left" w:yAlign="inline"/>
              <w:jc w:val="center"/>
              <w:rPr>
                <w:rFonts w:ascii="宋体" w:hAnsi="宋体"/>
                <w:b/>
              </w:rPr>
            </w:pPr>
            <w:r>
              <w:rPr>
                <w:rFonts w:hint="eastAsia" w:ascii="宋体" w:hAnsi="宋体"/>
                <w:b/>
              </w:rPr>
              <w:t>数量（人/工位）</w:t>
            </w:r>
          </w:p>
        </w:tc>
        <w:tc>
          <w:tcPr>
            <w:tcW w:w="837" w:type="pct"/>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主要功能</w:t>
            </w:r>
          </w:p>
        </w:tc>
        <w:tc>
          <w:tcPr>
            <w:tcW w:w="1119" w:type="pct"/>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适用课程</w:t>
            </w:r>
          </w:p>
        </w:tc>
        <w:tc>
          <w:tcPr>
            <w:tcW w:w="798" w:type="pct"/>
            <w:shd w:val="clear" w:color="auto" w:fill="auto"/>
            <w:vAlign w:val="center"/>
          </w:tcPr>
          <w:p>
            <w:pPr>
              <w:pStyle w:val="99"/>
              <w:framePr w:hSpace="0" w:wrap="auto" w:vAnchor="margin" w:hAnchor="text" w:xAlign="left" w:yAlign="inline"/>
              <w:jc w:val="center"/>
              <w:rPr>
                <w:rFonts w:ascii="宋体" w:hAnsi="宋体"/>
                <w:b/>
              </w:rPr>
            </w:pPr>
            <w:r>
              <w:rPr>
                <w:rFonts w:hint="eastAsia" w:ascii="宋体" w:hAnsi="宋体"/>
                <w:b/>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3" w:type="pct"/>
            <w:shd w:val="clear" w:color="auto" w:fill="auto"/>
            <w:vAlign w:val="center"/>
          </w:tcPr>
          <w:p>
            <w:pPr>
              <w:pStyle w:val="99"/>
              <w:framePr w:hSpace="0" w:wrap="auto" w:vAnchor="margin" w:hAnchor="text" w:xAlign="left" w:yAlign="inline"/>
              <w:rPr>
                <w:rFonts w:ascii="宋体" w:hAnsi="宋体"/>
              </w:rPr>
            </w:pPr>
            <w:r>
              <w:rPr>
                <w:rFonts w:hint="eastAsia" w:ascii="宋体" w:hAnsi="宋体"/>
              </w:rPr>
              <w:t>1</w:t>
            </w:r>
          </w:p>
        </w:tc>
        <w:tc>
          <w:tcPr>
            <w:tcW w:w="505" w:type="pct"/>
            <w:shd w:val="clear" w:color="auto" w:fill="auto"/>
            <w:vAlign w:val="center"/>
          </w:tcPr>
          <w:p>
            <w:pPr>
              <w:pStyle w:val="99"/>
              <w:framePr w:hSpace="0" w:wrap="auto" w:vAnchor="margin" w:hAnchor="text" w:xAlign="left" w:yAlign="inline"/>
              <w:rPr>
                <w:rFonts w:ascii="宋体" w:hAnsi="宋体" w:cs="宋体"/>
              </w:rPr>
            </w:pPr>
            <w:r>
              <w:rPr>
                <w:rFonts w:ascii="宋体" w:hAnsi="宋体" w:cs="宋体"/>
              </w:rPr>
              <w:t>网络实验室</w:t>
            </w:r>
          </w:p>
        </w:tc>
        <w:tc>
          <w:tcPr>
            <w:tcW w:w="841" w:type="pct"/>
            <w:shd w:val="clear" w:color="auto" w:fill="auto"/>
            <w:vAlign w:val="center"/>
          </w:tcPr>
          <w:p>
            <w:pPr>
              <w:pStyle w:val="99"/>
              <w:framePr w:hSpace="0" w:wrap="auto" w:vAnchor="margin" w:hAnchor="text" w:xAlign="left" w:yAlign="inline"/>
              <w:rPr>
                <w:rFonts w:ascii="宋体" w:hAnsi="宋体" w:cs="宋体"/>
              </w:rPr>
            </w:pPr>
            <w:r>
              <w:rPr>
                <w:rFonts w:ascii="宋体" w:hAnsi="宋体" w:cs="宋体"/>
              </w:rPr>
              <w:t>PT</w:t>
            </w:r>
            <w:r>
              <w:rPr>
                <w:rFonts w:hint="eastAsia" w:ascii="宋体" w:hAnsi="宋体" w:cs="宋体"/>
              </w:rPr>
              <w:t>超级终端internet</w:t>
            </w:r>
          </w:p>
          <w:p>
            <w:pPr>
              <w:pStyle w:val="99"/>
              <w:framePr w:hSpace="0" w:wrap="auto" w:vAnchor="margin" w:hAnchor="text" w:xAlign="left" w:yAlign="inline"/>
              <w:rPr>
                <w:rFonts w:ascii="宋体" w:hAnsi="宋体" w:cs="宋体"/>
              </w:rPr>
            </w:pPr>
            <w:r>
              <w:rPr>
                <w:rFonts w:hint="eastAsia" w:ascii="宋体" w:hAnsi="宋体" w:cs="宋体"/>
              </w:rPr>
              <w:t>华为：eNSP模拟平台</w:t>
            </w:r>
          </w:p>
        </w:tc>
        <w:tc>
          <w:tcPr>
            <w:tcW w:w="607" w:type="pct"/>
            <w:vAlign w:val="center"/>
          </w:tcPr>
          <w:p>
            <w:pPr>
              <w:pStyle w:val="99"/>
              <w:framePr w:hSpace="0" w:wrap="auto" w:vAnchor="margin" w:hAnchor="text" w:xAlign="left" w:yAlign="inline"/>
              <w:rPr>
                <w:rFonts w:ascii="宋体" w:hAnsi="宋体" w:cs="宋体"/>
              </w:rPr>
            </w:pPr>
            <w:r>
              <w:rPr>
                <w:rFonts w:hint="eastAsia" w:ascii="宋体" w:hAnsi="宋体" w:cs="宋体"/>
              </w:rPr>
              <w:t>50</w:t>
            </w:r>
          </w:p>
        </w:tc>
        <w:tc>
          <w:tcPr>
            <w:tcW w:w="837"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对网络互连设备进行配置</w:t>
            </w:r>
          </w:p>
          <w:p>
            <w:pPr>
              <w:pStyle w:val="99"/>
              <w:framePr w:hSpace="0" w:wrap="auto" w:vAnchor="margin" w:hAnchor="text" w:xAlign="left" w:yAlign="inline"/>
              <w:rPr>
                <w:rFonts w:ascii="宋体" w:hAnsi="宋体" w:cs="宋体"/>
              </w:rPr>
            </w:pPr>
            <w:r>
              <w:rPr>
                <w:rFonts w:hint="eastAsia" w:ascii="宋体" w:hAnsi="宋体" w:cs="宋体"/>
              </w:rPr>
              <w:t>日常实训教学</w:t>
            </w:r>
          </w:p>
        </w:tc>
        <w:tc>
          <w:tcPr>
            <w:tcW w:w="1119"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计算机网络基础</w:t>
            </w:r>
          </w:p>
          <w:p>
            <w:pPr>
              <w:pStyle w:val="99"/>
              <w:framePr w:hSpace="0" w:wrap="auto" w:vAnchor="margin" w:hAnchor="text" w:xAlign="left" w:yAlign="inline"/>
              <w:rPr>
                <w:rFonts w:ascii="宋体" w:hAnsi="宋体" w:cs="宋体"/>
              </w:rPr>
            </w:pPr>
            <w:r>
              <w:rPr>
                <w:rFonts w:hint="eastAsia" w:ascii="宋体" w:hAnsi="宋体" w:cs="宋体"/>
              </w:rPr>
              <w:t>数据库技术与安全管理</w:t>
            </w:r>
          </w:p>
          <w:p>
            <w:pPr>
              <w:pStyle w:val="99"/>
              <w:framePr w:hSpace="0" w:wrap="auto" w:vAnchor="margin" w:hAnchor="text" w:xAlign="left" w:yAlign="inline"/>
              <w:rPr>
                <w:rFonts w:ascii="宋体" w:hAnsi="宋体" w:cs="宋体"/>
              </w:rPr>
            </w:pPr>
            <w:r>
              <w:rPr>
                <w:rFonts w:hint="eastAsia" w:ascii="宋体" w:hAnsi="宋体" w:cs="宋体"/>
              </w:rPr>
              <w:t>Python</w:t>
            </w:r>
            <w:r>
              <w:rPr>
                <w:rFonts w:ascii="宋体" w:hAnsi="宋体" w:cs="宋体"/>
              </w:rPr>
              <w:t>程序设计</w:t>
            </w:r>
          </w:p>
        </w:tc>
        <w:tc>
          <w:tcPr>
            <w:tcW w:w="798"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软件开发工程师</w:t>
            </w:r>
          </w:p>
          <w:p>
            <w:pPr>
              <w:pStyle w:val="99"/>
              <w:framePr w:hSpace="0" w:wrap="auto" w:vAnchor="margin" w:hAnchor="text" w:xAlign="left" w:yAlign="inline"/>
              <w:rPr>
                <w:rFonts w:ascii="宋体" w:hAnsi="宋体" w:cs="宋体"/>
              </w:rPr>
            </w:pPr>
            <w:r>
              <w:rPr>
                <w:rFonts w:hint="eastAsia" w:ascii="宋体" w:hAnsi="宋体" w:cs="宋体"/>
              </w:rPr>
              <w:t>网络安全工程师</w:t>
            </w:r>
          </w:p>
          <w:p>
            <w:pPr>
              <w:pStyle w:val="99"/>
              <w:framePr w:hSpace="0" w:wrap="auto" w:vAnchor="margin" w:hAnchor="text" w:xAlign="left" w:yAlign="in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3" w:type="pct"/>
            <w:shd w:val="clear" w:color="auto" w:fill="auto"/>
            <w:vAlign w:val="center"/>
          </w:tcPr>
          <w:p>
            <w:pPr>
              <w:pStyle w:val="99"/>
              <w:framePr w:hSpace="0" w:wrap="auto" w:vAnchor="margin" w:hAnchor="text" w:xAlign="left" w:yAlign="inline"/>
              <w:rPr>
                <w:rFonts w:ascii="宋体" w:hAnsi="宋体"/>
              </w:rPr>
            </w:pPr>
            <w:r>
              <w:rPr>
                <w:rFonts w:hint="eastAsia" w:ascii="宋体" w:hAnsi="宋体"/>
              </w:rPr>
              <w:t>2</w:t>
            </w:r>
          </w:p>
        </w:tc>
        <w:tc>
          <w:tcPr>
            <w:tcW w:w="505"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网络安全实验室</w:t>
            </w:r>
          </w:p>
        </w:tc>
        <w:tc>
          <w:tcPr>
            <w:tcW w:w="841"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网络攻防模拟器</w:t>
            </w:r>
          </w:p>
        </w:tc>
        <w:tc>
          <w:tcPr>
            <w:tcW w:w="607" w:type="pct"/>
            <w:vAlign w:val="center"/>
          </w:tcPr>
          <w:p>
            <w:pPr>
              <w:pStyle w:val="99"/>
              <w:framePr w:hSpace="0" w:wrap="auto" w:vAnchor="margin" w:hAnchor="text" w:xAlign="left" w:yAlign="inline"/>
              <w:rPr>
                <w:rFonts w:ascii="宋体" w:hAnsi="宋体" w:cs="宋体"/>
              </w:rPr>
            </w:pPr>
            <w:r>
              <w:rPr>
                <w:rFonts w:hint="eastAsia" w:ascii="宋体" w:hAnsi="宋体" w:cs="宋体"/>
              </w:rPr>
              <w:t>50</w:t>
            </w:r>
          </w:p>
        </w:tc>
        <w:tc>
          <w:tcPr>
            <w:tcW w:w="837"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网络漏洞、网络防护实验</w:t>
            </w:r>
          </w:p>
        </w:tc>
        <w:tc>
          <w:tcPr>
            <w:tcW w:w="1119"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Linux实用技术与安全管理数据存储技术</w:t>
            </w:r>
          </w:p>
          <w:p>
            <w:pPr>
              <w:pStyle w:val="99"/>
              <w:framePr w:hSpace="0" w:wrap="auto" w:vAnchor="margin" w:hAnchor="text" w:xAlign="left" w:yAlign="inline"/>
              <w:rPr>
                <w:rFonts w:ascii="宋体" w:hAnsi="宋体" w:cs="宋体"/>
              </w:rPr>
            </w:pPr>
            <w:r>
              <w:rPr>
                <w:rFonts w:hint="eastAsia" w:ascii="宋体" w:hAnsi="宋体" w:cs="宋体"/>
              </w:rPr>
              <w:t>路由与交换技术</w:t>
            </w:r>
          </w:p>
          <w:p>
            <w:pPr>
              <w:pStyle w:val="99"/>
              <w:framePr w:hSpace="0" w:wrap="auto" w:vAnchor="margin" w:hAnchor="text" w:xAlign="left" w:yAlign="inline"/>
              <w:rPr>
                <w:rFonts w:ascii="宋体" w:hAnsi="宋体" w:cs="宋体"/>
              </w:rPr>
            </w:pPr>
            <w:r>
              <w:rPr>
                <w:rFonts w:hint="eastAsia" w:ascii="宋体" w:hAnsi="宋体" w:cs="宋体"/>
              </w:rPr>
              <w:t>网络安全设备管理技术</w:t>
            </w:r>
          </w:p>
          <w:p>
            <w:pPr>
              <w:pStyle w:val="99"/>
              <w:framePr w:hSpace="0" w:wrap="auto" w:vAnchor="margin" w:hAnchor="text" w:xAlign="left" w:yAlign="inline"/>
              <w:rPr>
                <w:rFonts w:ascii="宋体" w:hAnsi="宋体" w:cs="宋体"/>
              </w:rPr>
            </w:pPr>
            <w:r>
              <w:rPr>
                <w:rFonts w:hint="eastAsia" w:ascii="宋体" w:hAnsi="宋体" w:cs="宋体"/>
              </w:rPr>
              <w:t>数据备份与灾难恢复技术</w:t>
            </w:r>
          </w:p>
          <w:p>
            <w:pPr>
              <w:pStyle w:val="99"/>
              <w:framePr w:hSpace="0" w:wrap="auto" w:vAnchor="margin" w:hAnchor="text" w:xAlign="left" w:yAlign="inline"/>
              <w:rPr>
                <w:rFonts w:ascii="宋体" w:hAnsi="宋体" w:cs="宋体"/>
              </w:rPr>
            </w:pPr>
            <w:r>
              <w:rPr>
                <w:rFonts w:hint="eastAsia" w:ascii="宋体" w:hAnsi="宋体" w:cs="宋体"/>
              </w:rPr>
              <w:t>服务器高级管理技术</w:t>
            </w:r>
          </w:p>
          <w:p>
            <w:pPr>
              <w:pStyle w:val="99"/>
              <w:framePr w:hSpace="0" w:wrap="auto" w:vAnchor="margin" w:hAnchor="text" w:xAlign="left" w:yAlign="inline"/>
              <w:rPr>
                <w:rFonts w:ascii="宋体" w:hAnsi="宋体" w:cs="宋体"/>
              </w:rPr>
            </w:pPr>
            <w:r>
              <w:rPr>
                <w:rFonts w:hint="eastAsia" w:ascii="宋体" w:hAnsi="宋体" w:cs="宋体"/>
              </w:rPr>
              <w:t>信息系统安全评估</w:t>
            </w:r>
          </w:p>
        </w:tc>
        <w:tc>
          <w:tcPr>
            <w:tcW w:w="798"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网络安全工程师</w:t>
            </w:r>
          </w:p>
          <w:p>
            <w:pPr>
              <w:pStyle w:val="99"/>
              <w:framePr w:hSpace="0" w:wrap="auto" w:vAnchor="margin" w:hAnchor="text" w:xAlign="left" w:yAlign="inline"/>
              <w:rPr>
                <w:rFonts w:ascii="宋体" w:hAnsi="宋体" w:cs="宋体"/>
              </w:rPr>
            </w:pPr>
            <w:r>
              <w:rPr>
                <w:rFonts w:hint="eastAsia" w:ascii="宋体" w:hAnsi="宋体" w:cs="宋体"/>
              </w:rPr>
              <w:t>数据恢复工程师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3" w:type="pct"/>
            <w:shd w:val="clear" w:color="auto" w:fill="auto"/>
            <w:vAlign w:val="center"/>
          </w:tcPr>
          <w:p>
            <w:pPr>
              <w:pStyle w:val="99"/>
              <w:framePr w:hSpace="0" w:wrap="auto" w:vAnchor="margin" w:hAnchor="text" w:xAlign="left" w:yAlign="inline"/>
              <w:rPr>
                <w:rFonts w:ascii="宋体" w:hAnsi="宋体"/>
              </w:rPr>
            </w:pPr>
            <w:r>
              <w:rPr>
                <w:rFonts w:hint="eastAsia" w:ascii="宋体" w:hAnsi="宋体"/>
              </w:rPr>
              <w:t>3</w:t>
            </w:r>
          </w:p>
        </w:tc>
        <w:tc>
          <w:tcPr>
            <w:tcW w:w="505"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物联网实验室</w:t>
            </w:r>
          </w:p>
        </w:tc>
        <w:tc>
          <w:tcPr>
            <w:tcW w:w="841"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软件开发程序</w:t>
            </w:r>
          </w:p>
        </w:tc>
        <w:tc>
          <w:tcPr>
            <w:tcW w:w="607" w:type="pct"/>
            <w:vAlign w:val="center"/>
          </w:tcPr>
          <w:p>
            <w:pPr>
              <w:pStyle w:val="99"/>
              <w:framePr w:hSpace="0" w:wrap="auto" w:vAnchor="margin" w:hAnchor="text" w:xAlign="left" w:yAlign="inline"/>
              <w:rPr>
                <w:rFonts w:ascii="宋体" w:hAnsi="宋体" w:cs="宋体"/>
              </w:rPr>
            </w:pPr>
            <w:r>
              <w:rPr>
                <w:rFonts w:hint="eastAsia" w:ascii="宋体" w:hAnsi="宋体" w:cs="宋体"/>
              </w:rPr>
              <w:t>50</w:t>
            </w:r>
          </w:p>
        </w:tc>
        <w:tc>
          <w:tcPr>
            <w:tcW w:w="837"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能够完成网络互联的物联功能</w:t>
            </w:r>
          </w:p>
        </w:tc>
        <w:tc>
          <w:tcPr>
            <w:tcW w:w="1119"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Web设面向对象设计模式</w:t>
            </w:r>
          </w:p>
          <w:p>
            <w:pPr>
              <w:pStyle w:val="99"/>
              <w:framePr w:hSpace="0" w:wrap="auto" w:vAnchor="margin" w:hAnchor="text" w:xAlign="left" w:yAlign="inline"/>
              <w:rPr>
                <w:rFonts w:ascii="宋体" w:hAnsi="宋体" w:cs="宋体"/>
              </w:rPr>
            </w:pPr>
            <w:r>
              <w:rPr>
                <w:rFonts w:hint="eastAsia" w:ascii="宋体" w:hAnsi="宋体" w:cs="宋体"/>
              </w:rPr>
              <w:t>软件测试与安全保障</w:t>
            </w:r>
          </w:p>
          <w:p>
            <w:pPr>
              <w:pStyle w:val="99"/>
              <w:framePr w:hSpace="0" w:wrap="auto" w:vAnchor="margin" w:hAnchor="text" w:xAlign="left" w:yAlign="inline"/>
              <w:rPr>
                <w:rFonts w:ascii="宋体" w:hAnsi="宋体" w:cs="宋体"/>
              </w:rPr>
            </w:pPr>
            <w:r>
              <w:rPr>
                <w:rFonts w:hint="eastAsia" w:ascii="宋体" w:hAnsi="宋体" w:cs="宋体"/>
              </w:rPr>
              <w:t>软件工程设计与管理</w:t>
            </w:r>
          </w:p>
          <w:p>
            <w:pPr>
              <w:pStyle w:val="99"/>
              <w:framePr w:hSpace="0" w:wrap="auto" w:vAnchor="margin" w:hAnchor="text" w:xAlign="left" w:yAlign="inline"/>
              <w:rPr>
                <w:rFonts w:ascii="宋体" w:hAnsi="宋体" w:cs="宋体"/>
              </w:rPr>
            </w:pPr>
            <w:r>
              <w:rPr>
                <w:rFonts w:hint="eastAsia" w:ascii="宋体" w:hAnsi="宋体" w:cs="宋体"/>
              </w:rPr>
              <w:t>安全软件项目工程</w:t>
            </w:r>
          </w:p>
        </w:tc>
        <w:tc>
          <w:tcPr>
            <w:tcW w:w="798" w:type="pct"/>
            <w:shd w:val="clear" w:color="auto" w:fill="auto"/>
            <w:vAlign w:val="center"/>
          </w:tcPr>
          <w:p>
            <w:pPr>
              <w:pStyle w:val="99"/>
              <w:framePr w:hSpace="0" w:wrap="auto" w:vAnchor="margin" w:hAnchor="text" w:xAlign="left" w:yAlign="inline"/>
              <w:rPr>
                <w:rFonts w:ascii="宋体" w:hAnsi="宋体" w:cs="宋体"/>
              </w:rPr>
            </w:pPr>
            <w:r>
              <w:rPr>
                <w:rFonts w:hint="eastAsia" w:ascii="宋体" w:hAnsi="宋体" w:cs="宋体"/>
              </w:rPr>
              <w:t>软件测试工程师</w:t>
            </w:r>
          </w:p>
          <w:p>
            <w:pPr>
              <w:pStyle w:val="99"/>
              <w:framePr w:hSpace="0" w:wrap="auto" w:vAnchor="margin" w:hAnchor="text" w:xAlign="left" w:yAlign="inline"/>
              <w:rPr>
                <w:rFonts w:ascii="宋体" w:hAnsi="宋体" w:cs="宋体"/>
              </w:rPr>
            </w:pPr>
          </w:p>
        </w:tc>
      </w:tr>
    </w:tbl>
    <w:p>
      <w:pPr>
        <w:pStyle w:val="94"/>
      </w:pPr>
      <w:bookmarkStart w:id="231" w:name="_Toc405393408"/>
      <w:bookmarkStart w:id="232" w:name="_Toc407697924"/>
      <w:bookmarkStart w:id="233" w:name="_Toc407696166"/>
      <w:r>
        <w:rPr>
          <w:rFonts w:hint="eastAsia"/>
        </w:rPr>
        <w:t>3.</w:t>
      </w:r>
      <w:r>
        <w:t xml:space="preserve"> </w:t>
      </w:r>
      <w:r>
        <w:rPr>
          <w:rFonts w:hint="eastAsia"/>
        </w:rPr>
        <w:t>校外实践教学条件</w:t>
      </w:r>
      <w:bookmarkEnd w:id="231"/>
      <w:bookmarkEnd w:id="232"/>
      <w:bookmarkEnd w:id="233"/>
    </w:p>
    <w:p>
      <w:pPr>
        <w:pStyle w:val="101"/>
        <w:ind w:firstLine="560"/>
      </w:pPr>
      <w:bookmarkStart w:id="234" w:name="_Toc407696167"/>
      <w:bookmarkStart w:id="235" w:name="_Toc407697925"/>
      <w:bookmarkStart w:id="236" w:name="_Toc405393409"/>
      <w:r>
        <w:rPr>
          <w:rFonts w:hint="eastAsia"/>
        </w:rPr>
        <w:t>通过校企合作，与北京网络安全人才培养基地签订合作协议，建成稳定的校外实训基地，教学</w:t>
      </w:r>
      <w:r>
        <w:t>设施与</w:t>
      </w:r>
      <w:r>
        <w:rPr>
          <w:rFonts w:hint="eastAsia"/>
        </w:rPr>
        <w:t>实践教学体系配套，满足实训和岗位实习需要能够贯通</w:t>
      </w:r>
      <w:r>
        <w:t>学生的知识</w:t>
      </w:r>
      <w:r>
        <w:rPr>
          <w:rFonts w:hint="eastAsia"/>
        </w:rPr>
        <w:t>。</w:t>
      </w:r>
    </w:p>
    <w:p>
      <w:pPr>
        <w:pStyle w:val="94"/>
      </w:pPr>
      <w:r>
        <w:rPr>
          <w:rFonts w:hint="eastAsia"/>
        </w:rPr>
        <w:t>4.</w:t>
      </w:r>
      <w:r>
        <w:t xml:space="preserve"> </w:t>
      </w:r>
      <w:r>
        <w:rPr>
          <w:rFonts w:hint="eastAsia"/>
        </w:rPr>
        <w:t>信息化资源</w:t>
      </w:r>
      <w:bookmarkEnd w:id="234"/>
      <w:bookmarkEnd w:id="235"/>
      <w:bookmarkEnd w:id="236"/>
    </w:p>
    <w:p>
      <w:pPr>
        <w:pStyle w:val="101"/>
        <w:ind w:firstLine="560"/>
      </w:pPr>
      <w:bookmarkStart w:id="237" w:name="_Toc46303729"/>
      <w:r>
        <w:rPr>
          <w:rFonts w:hint="eastAsia"/>
        </w:rPr>
        <w:t>专业教学资源库为优慕课，按照</w:t>
      </w:r>
      <w:r>
        <w:t>标准进行建设课程，</w:t>
      </w:r>
      <w:r>
        <w:rPr>
          <w:rFonts w:hint="eastAsia"/>
        </w:rPr>
        <w:t>能满足专业建设、教学管理、信息化教学和学生自主学习需要。</w:t>
      </w:r>
    </w:p>
    <w:p>
      <w:pPr>
        <w:pStyle w:val="92"/>
      </w:pPr>
      <w:bookmarkStart w:id="238" w:name="_Toc99220065"/>
      <w:bookmarkStart w:id="239" w:name="_Toc99219080"/>
      <w:bookmarkStart w:id="240" w:name="_Toc99222635"/>
      <w:bookmarkStart w:id="241" w:name="_Toc99220926"/>
      <w:bookmarkStart w:id="242" w:name="_Toc93520580"/>
      <w:r>
        <w:t>（</w:t>
      </w:r>
      <w:r>
        <w:rPr>
          <w:rFonts w:hint="eastAsia"/>
        </w:rPr>
        <w:t>三</w:t>
      </w:r>
      <w:r>
        <w:t>）</w:t>
      </w:r>
      <w:r>
        <w:rPr>
          <w:rFonts w:hint="eastAsia"/>
        </w:rPr>
        <w:t>教学资源</w:t>
      </w:r>
      <w:bookmarkEnd w:id="237"/>
      <w:bookmarkEnd w:id="238"/>
      <w:bookmarkEnd w:id="239"/>
      <w:bookmarkEnd w:id="240"/>
      <w:bookmarkEnd w:id="241"/>
      <w:bookmarkEnd w:id="242"/>
    </w:p>
    <w:p>
      <w:pPr>
        <w:pStyle w:val="94"/>
      </w:pPr>
      <w:bookmarkStart w:id="243" w:name="_Toc46303730"/>
      <w:r>
        <w:t xml:space="preserve">1. </w:t>
      </w:r>
      <w:r>
        <w:rPr>
          <w:rFonts w:hint="eastAsia"/>
        </w:rPr>
        <w:t>教材使用及开发情况</w:t>
      </w:r>
    </w:p>
    <w:p>
      <w:pPr>
        <w:pStyle w:val="101"/>
        <w:ind w:firstLine="560"/>
      </w:pPr>
      <w:r>
        <w:rPr>
          <w:rFonts w:hint="eastAsia"/>
        </w:rPr>
        <w:t>按照国家规定选用优质教材，禁止不合格的教材进人课堂。学校建立</w:t>
      </w:r>
      <w:r>
        <w:t>了</w:t>
      </w:r>
      <w:r>
        <w:rPr>
          <w:rFonts w:hint="eastAsia"/>
        </w:rPr>
        <w:t>专业教师、行业专家和教研人员等参与的教材选用机构，完善教材选用制度，经过规范程序择优选用教材。</w:t>
      </w:r>
    </w:p>
    <w:p>
      <w:pPr>
        <w:pStyle w:val="94"/>
      </w:pPr>
      <w:r>
        <w:t xml:space="preserve">2. </w:t>
      </w:r>
      <w:r>
        <w:rPr>
          <w:rFonts w:hint="eastAsia"/>
        </w:rPr>
        <w:t>图书</w:t>
      </w:r>
    </w:p>
    <w:p>
      <w:pPr>
        <w:pStyle w:val="101"/>
        <w:ind w:firstLine="560"/>
      </w:pPr>
      <w:r>
        <w:rPr>
          <w:rFonts w:hint="eastAsia"/>
        </w:rPr>
        <w:t>图书文献配备能满足人才培养、专业建设、教科研等工作的需要，方便师生查询、借阅。专业类图书文献主要包括:有关信息安全的技术、标准、方法、操作规范以及案例类图书等。</w:t>
      </w:r>
    </w:p>
    <w:p>
      <w:pPr>
        <w:pStyle w:val="94"/>
      </w:pPr>
      <w:r>
        <w:t xml:space="preserve">3. </w:t>
      </w:r>
      <w:r>
        <w:rPr>
          <w:rFonts w:hint="eastAsia"/>
        </w:rPr>
        <w:t>数字化教学资源建设与使用情况</w:t>
      </w:r>
    </w:p>
    <w:p>
      <w:pPr>
        <w:pStyle w:val="101"/>
        <w:ind w:firstLine="560"/>
        <w:rPr>
          <w:rFonts w:ascii="宋体" w:hAnsi="宋体" w:cs="宋体"/>
          <w:color w:val="000000"/>
        </w:rPr>
      </w:pPr>
      <w:r>
        <w:rPr>
          <w:rFonts w:hint="eastAsia"/>
        </w:rPr>
        <w:t>建设、配备与本专业有关的音视频素材、教学课件、数字化教学案例库、数字教材等专业教学资源库，应种类丰富、形式多样、使用便捷、动态更新，能满足教学要求。</w:t>
      </w:r>
    </w:p>
    <w:p>
      <w:pPr>
        <w:pStyle w:val="92"/>
      </w:pPr>
      <w:bookmarkStart w:id="244" w:name="_Toc99222636"/>
      <w:bookmarkStart w:id="245" w:name="_Toc99220927"/>
      <w:bookmarkStart w:id="246" w:name="_Toc99220066"/>
      <w:bookmarkStart w:id="247" w:name="_Toc99219081"/>
      <w:bookmarkStart w:id="248" w:name="_Toc93520581"/>
      <w:r>
        <w:t>（</w:t>
      </w:r>
      <w:r>
        <w:rPr>
          <w:rFonts w:hint="eastAsia"/>
        </w:rPr>
        <w:t>四</w:t>
      </w:r>
      <w:r>
        <w:t>）</w:t>
      </w:r>
      <w:r>
        <w:rPr>
          <w:rFonts w:hint="eastAsia"/>
        </w:rPr>
        <w:t>教学方法</w:t>
      </w:r>
      <w:bookmarkEnd w:id="243"/>
      <w:bookmarkEnd w:id="244"/>
      <w:bookmarkEnd w:id="245"/>
      <w:bookmarkEnd w:id="246"/>
      <w:bookmarkEnd w:id="247"/>
      <w:bookmarkEnd w:id="248"/>
    </w:p>
    <w:p>
      <w:pPr>
        <w:pStyle w:val="94"/>
      </w:pPr>
      <w:r>
        <w:rPr>
          <w:rFonts w:hint="eastAsia"/>
        </w:rPr>
        <w:t>1</w:t>
      </w:r>
      <w:r>
        <w:t>.</w:t>
      </w:r>
      <w:r>
        <w:rPr>
          <w:rFonts w:hint="eastAsia"/>
        </w:rPr>
        <w:t xml:space="preserve"> 教学模式</w:t>
      </w:r>
    </w:p>
    <w:p>
      <w:pPr>
        <w:pStyle w:val="101"/>
        <w:ind w:firstLine="560"/>
      </w:pPr>
      <w:r>
        <w:rPr>
          <w:rFonts w:hint="eastAsia"/>
        </w:rPr>
        <w:t>混合式教学、理实一体教学等</w:t>
      </w:r>
    </w:p>
    <w:p>
      <w:pPr>
        <w:pStyle w:val="94"/>
      </w:pPr>
      <w:r>
        <w:rPr>
          <w:rFonts w:hint="eastAsia"/>
        </w:rPr>
        <w:t>2</w:t>
      </w:r>
      <w:r>
        <w:t xml:space="preserve">. </w:t>
      </w:r>
      <w:r>
        <w:rPr>
          <w:rFonts w:hint="eastAsia"/>
        </w:rPr>
        <w:t>教学方法手段</w:t>
      </w:r>
    </w:p>
    <w:p>
      <w:pPr>
        <w:pStyle w:val="96"/>
      </w:pPr>
      <w:r>
        <w:rPr>
          <w:rFonts w:hint="eastAsia"/>
        </w:rPr>
        <w:t>①教学方法</w:t>
      </w:r>
    </w:p>
    <w:p>
      <w:pPr>
        <w:pStyle w:val="101"/>
        <w:ind w:firstLine="560"/>
      </w:pPr>
      <w:r>
        <w:rPr>
          <w:rFonts w:hint="eastAsia"/>
        </w:rPr>
        <w:t>一体化</w:t>
      </w:r>
      <w:r>
        <w:t>教学、产教融合、</w:t>
      </w:r>
      <w:r>
        <w:rPr>
          <w:rFonts w:hint="eastAsia"/>
        </w:rPr>
        <w:t>项目时</w:t>
      </w:r>
      <w:r>
        <w:t>教学、案例教学等</w:t>
      </w:r>
    </w:p>
    <w:p>
      <w:pPr>
        <w:pStyle w:val="96"/>
      </w:pPr>
      <w:r>
        <w:rPr>
          <w:rFonts w:hint="eastAsia"/>
        </w:rPr>
        <w:t>②教学手段</w:t>
      </w:r>
    </w:p>
    <w:p>
      <w:pPr>
        <w:pStyle w:val="101"/>
        <w:ind w:firstLine="560"/>
      </w:pPr>
      <w:r>
        <w:t>以</w:t>
      </w:r>
      <w:r>
        <w:rPr>
          <w:rFonts w:hint="eastAsia"/>
        </w:rPr>
        <w:t>信息安全技术应用</w:t>
      </w:r>
      <w:r>
        <w:t>能力培养为主线</w:t>
      </w:r>
      <w:r>
        <w:rPr>
          <w:rFonts w:hint="eastAsia"/>
        </w:rPr>
        <w:t>，按照通用能力、专业核心能力、职业拓展能力培养有机结合组织教学，</w:t>
      </w:r>
      <w:r>
        <w:t>做到</w:t>
      </w:r>
      <w:r>
        <w:rPr>
          <w:rFonts w:hint="eastAsia"/>
        </w:rPr>
        <w:t>教学做相结合；</w:t>
      </w:r>
      <w:r>
        <w:t>素质</w:t>
      </w:r>
      <w:r>
        <w:rPr>
          <w:rFonts w:hint="eastAsia"/>
        </w:rPr>
        <w:t>养成</w:t>
      </w:r>
      <w:r>
        <w:t>与能力培养相结合</w:t>
      </w:r>
      <w:r>
        <w:rPr>
          <w:rFonts w:hint="eastAsia"/>
        </w:rPr>
        <w:t>，校内实训和校外实践</w:t>
      </w:r>
      <w:r>
        <w:t>相结合</w:t>
      </w:r>
      <w:r>
        <w:rPr>
          <w:rFonts w:hint="eastAsia"/>
        </w:rPr>
        <w:t>。</w:t>
      </w:r>
    </w:p>
    <w:p>
      <w:pPr>
        <w:pStyle w:val="92"/>
      </w:pPr>
      <w:bookmarkStart w:id="249" w:name="_Toc99219082"/>
      <w:bookmarkStart w:id="250" w:name="_Toc99220928"/>
      <w:bookmarkStart w:id="251" w:name="_Toc93520582"/>
      <w:bookmarkStart w:id="252" w:name="_Toc99220067"/>
      <w:bookmarkStart w:id="253" w:name="_Toc99222637"/>
      <w:r>
        <w:rPr>
          <w:rFonts w:hint="eastAsia"/>
        </w:rPr>
        <w:t>（五）考核评价</w:t>
      </w:r>
      <w:bookmarkEnd w:id="249"/>
      <w:bookmarkEnd w:id="250"/>
      <w:bookmarkEnd w:id="251"/>
      <w:bookmarkEnd w:id="252"/>
      <w:bookmarkEnd w:id="253"/>
    </w:p>
    <w:p>
      <w:pPr>
        <w:pStyle w:val="94"/>
      </w:pPr>
      <w:r>
        <w:rPr>
          <w:rFonts w:hint="eastAsia"/>
        </w:rPr>
        <w:t>1. 课程</w:t>
      </w:r>
      <w:r>
        <w:t>考核</w:t>
      </w:r>
    </w:p>
    <w:p>
      <w:pPr>
        <w:pStyle w:val="96"/>
      </w:pPr>
      <w:r>
        <w:rPr>
          <w:rFonts w:hint="eastAsia" w:ascii="微软雅黑" w:hAnsi="微软雅黑" w:eastAsia="微软雅黑" w:cs="微软雅黑"/>
          <w:lang w:eastAsia="ja-JP"/>
        </w:rPr>
        <w:t>①</w:t>
      </w:r>
      <w:r>
        <w:rPr>
          <w:rFonts w:hint="eastAsia"/>
        </w:rPr>
        <w:t>操作性能力较强的专业课</w:t>
      </w:r>
    </w:p>
    <w:p>
      <w:pPr>
        <w:pStyle w:val="101"/>
        <w:ind w:firstLine="560"/>
      </w:pPr>
      <w:r>
        <w:rPr>
          <w:rFonts w:hint="eastAsia"/>
        </w:rPr>
        <w:t>《Python程序设计》《Linux实用技术与安全管理》、《数据库技术》、《Web渗透》《路由与交换技术》、《网络渗透测试技术》、《网络渗透测试技术》等。。</w:t>
      </w:r>
    </w:p>
    <w:p>
      <w:pPr>
        <w:pStyle w:val="101"/>
        <w:ind w:firstLine="560"/>
      </w:pPr>
      <w:r>
        <w:rPr>
          <w:rFonts w:hint="eastAsia"/>
        </w:rPr>
        <w:t>考核采取形成性考核方式进行，由形成性考核的各项过程成绩组成，分数比例为：</w:t>
      </w:r>
    </w:p>
    <w:p>
      <w:pPr>
        <w:pStyle w:val="101"/>
        <w:ind w:firstLine="560"/>
      </w:pPr>
      <w:r>
        <w:rPr>
          <w:rFonts w:hint="eastAsia"/>
        </w:rPr>
        <w:t>总评成绩 =平时学习表现（</w:t>
      </w:r>
      <w:r>
        <w:t>2</w:t>
      </w:r>
      <w:r>
        <w:rPr>
          <w:rFonts w:hint="eastAsia"/>
        </w:rPr>
        <w:t>0%）+作业（1</w:t>
      </w:r>
      <w:r>
        <w:t>0</w:t>
      </w:r>
      <w:r>
        <w:rPr>
          <w:rFonts w:hint="eastAsia"/>
        </w:rPr>
        <w:t>%）+阶段性考核（3</w:t>
      </w:r>
      <w:r>
        <w:t>0</w:t>
      </w:r>
      <w:r>
        <w:rPr>
          <w:rFonts w:hint="eastAsia"/>
        </w:rPr>
        <w:t xml:space="preserve">%） +期末考试成绩（40% ） </w:t>
      </w:r>
    </w:p>
    <w:p>
      <w:pPr>
        <w:pStyle w:val="101"/>
        <w:ind w:firstLine="560"/>
      </w:pPr>
      <w:r>
        <w:rPr>
          <w:rFonts w:hint="eastAsia"/>
        </w:rPr>
        <w:t>注：课程设计可为集中实训</w:t>
      </w:r>
    </w:p>
    <w:p>
      <w:pPr>
        <w:pStyle w:val="96"/>
      </w:pPr>
      <w:r>
        <w:rPr>
          <w:rFonts w:hint="eastAsia"/>
        </w:rPr>
        <w:t>②理论性较强的专业课</w:t>
      </w:r>
    </w:p>
    <w:p>
      <w:pPr>
        <w:pStyle w:val="101"/>
        <w:ind w:firstLine="560"/>
      </w:pPr>
      <w:r>
        <w:rPr>
          <w:rFonts w:hint="eastAsia"/>
        </w:rPr>
        <w:t>《信息安全基础》、《计算机专业英语》、《计算机网络基础》等</w:t>
      </w:r>
    </w:p>
    <w:p>
      <w:pPr>
        <w:pStyle w:val="101"/>
        <w:ind w:firstLine="560"/>
      </w:pPr>
      <w:r>
        <w:rPr>
          <w:rFonts w:hint="eastAsia"/>
        </w:rPr>
        <w:t>考核采取形成性考核方式进行，由形成性考核的各项过程成绩组成，分数比例为：</w:t>
      </w:r>
    </w:p>
    <w:p>
      <w:pPr>
        <w:pStyle w:val="101"/>
        <w:ind w:firstLine="560"/>
      </w:pPr>
      <w:r>
        <w:rPr>
          <w:rFonts w:hint="eastAsia"/>
        </w:rPr>
        <w:t xml:space="preserve">总评成绩 =平时学习表现（20%）+作业（10%）+单元考核（30%）+期末考试成绩（40% ） </w:t>
      </w:r>
    </w:p>
    <w:p>
      <w:pPr>
        <w:pStyle w:val="96"/>
      </w:pPr>
      <w:r>
        <w:rPr>
          <w:rFonts w:hint="eastAsia"/>
        </w:rPr>
        <w:t>③公共基础课</w:t>
      </w:r>
    </w:p>
    <w:p>
      <w:pPr>
        <w:pStyle w:val="101"/>
        <w:ind w:firstLine="560"/>
        <w:rPr>
          <w:rFonts w:ascii="宋体" w:hAnsi="宋体"/>
          <w:color w:val="000000"/>
        </w:rPr>
      </w:pPr>
      <w:r>
        <w:rPr>
          <w:rFonts w:hint="eastAsia"/>
        </w:rPr>
        <w:t>《思想道德修养与法律基础》、《毛泽东思想和中国特色社会主义理论体系概论》、《岗位体能与体育锻炼》、《计算机操作与应用》。按照学校的相关考核方式进行考核。</w:t>
      </w:r>
      <w:bookmarkStart w:id="254" w:name="_Toc373476101"/>
      <w:bookmarkStart w:id="255" w:name="_Toc367177946"/>
    </w:p>
    <w:p>
      <w:pPr>
        <w:pStyle w:val="94"/>
      </w:pPr>
      <w:r>
        <w:rPr>
          <w:rFonts w:hint="eastAsia"/>
        </w:rPr>
        <w:t>2. 专项</w:t>
      </w:r>
      <w:r>
        <w:t>实践考核</w:t>
      </w:r>
      <w:bookmarkEnd w:id="254"/>
      <w:bookmarkEnd w:id="255"/>
    </w:p>
    <w:p>
      <w:pPr>
        <w:pStyle w:val="101"/>
        <w:ind w:firstLine="560"/>
      </w:pPr>
      <w:r>
        <w:t>实训实习是指时间在一周以上的课程实习、课程设计、专业实习、岗位实习。实行课程化管理，实习不合格者不具备毕业资格。</w:t>
      </w:r>
      <w:r>
        <w:rPr>
          <w:rFonts w:hint="eastAsia"/>
        </w:rPr>
        <w:t>按照学院实践教学管理规范要求评定成绩。</w:t>
      </w:r>
    </w:p>
    <w:p>
      <w:pPr>
        <w:pStyle w:val="92"/>
      </w:pPr>
      <w:bookmarkStart w:id="256" w:name="_Toc93520583"/>
      <w:bookmarkStart w:id="257" w:name="_Toc99222638"/>
      <w:bookmarkStart w:id="258" w:name="_Toc99219083"/>
      <w:bookmarkStart w:id="259" w:name="_Toc99220068"/>
      <w:bookmarkStart w:id="260" w:name="_Toc99220929"/>
      <w:r>
        <w:rPr>
          <w:rFonts w:hint="eastAsia"/>
        </w:rPr>
        <w:t>（六）质量管理</w:t>
      </w:r>
      <w:bookmarkEnd w:id="256"/>
      <w:bookmarkEnd w:id="257"/>
      <w:bookmarkEnd w:id="258"/>
      <w:bookmarkEnd w:id="259"/>
      <w:bookmarkEnd w:id="260"/>
    </w:p>
    <w:p>
      <w:pPr>
        <w:pStyle w:val="101"/>
        <w:ind w:firstLine="560"/>
      </w:pPr>
      <w:r>
        <w:rPr>
          <w:rFonts w:hint="eastAsia"/>
        </w:rPr>
        <w:t>1. 学校和系部已经建立信息安全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pStyle w:val="101"/>
        <w:ind w:firstLine="560"/>
      </w:pPr>
      <w:r>
        <w:rPr>
          <w:rFonts w:hint="eastAsia"/>
        </w:rPr>
        <w:t>2.</w:t>
      </w:r>
      <w:r>
        <w:t xml:space="preserve"> </w:t>
      </w:r>
      <w:r>
        <w:rPr>
          <w:rFonts w:hint="eastAsia"/>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pStyle w:val="101"/>
        <w:ind w:firstLine="560"/>
      </w:pPr>
      <w:r>
        <w:rPr>
          <w:rFonts w:hint="eastAsia"/>
        </w:rPr>
        <w:t>3.</w:t>
      </w:r>
      <w:r>
        <w:t xml:space="preserve"> </w:t>
      </w:r>
      <w:r>
        <w:rPr>
          <w:rFonts w:hint="eastAsia"/>
        </w:rPr>
        <w:t>学校已经建立毕业生跟踪反馈机制及社会评价机制，并对生源情况、在校生学业水平、毕业生就业情况等进行分析，定期评价人才培养质量和培养目标达成情况。</w:t>
      </w:r>
    </w:p>
    <w:p>
      <w:pPr>
        <w:pStyle w:val="101"/>
        <w:ind w:firstLine="560"/>
      </w:pPr>
      <w:r>
        <w:rPr>
          <w:rFonts w:hint="eastAsia"/>
        </w:rPr>
        <w:t>4.</w:t>
      </w:r>
      <w:r>
        <w:t xml:space="preserve"> </w:t>
      </w:r>
      <w:r>
        <w:rPr>
          <w:rFonts w:hint="eastAsia"/>
        </w:rPr>
        <w:t>网络教研室充分利用评价分析结果有效改进专业教学，持续提高人才培养质量。</w:t>
      </w:r>
    </w:p>
    <w:p>
      <w:pPr>
        <w:pStyle w:val="90"/>
      </w:pPr>
      <w:bookmarkStart w:id="261" w:name="_Toc99222639"/>
      <w:bookmarkStart w:id="262" w:name="_Toc99220069"/>
      <w:bookmarkStart w:id="263" w:name="_Toc99220930"/>
      <w:bookmarkStart w:id="264" w:name="_Toc99219084"/>
      <w:bookmarkStart w:id="265" w:name="_Toc93520584"/>
      <w:bookmarkStart w:id="266" w:name="_Toc46303733"/>
      <w:r>
        <w:t>十三</w:t>
      </w:r>
      <w:r>
        <w:rPr>
          <w:rFonts w:hint="eastAsia"/>
        </w:rPr>
        <w:t>、毕业要求</w:t>
      </w:r>
      <w:bookmarkEnd w:id="261"/>
      <w:bookmarkEnd w:id="262"/>
      <w:bookmarkEnd w:id="263"/>
      <w:bookmarkEnd w:id="264"/>
      <w:bookmarkEnd w:id="265"/>
      <w:bookmarkEnd w:id="266"/>
    </w:p>
    <w:p>
      <w:pPr>
        <w:pStyle w:val="92"/>
      </w:pPr>
      <w:bookmarkStart w:id="267" w:name="_Toc99220931"/>
      <w:bookmarkStart w:id="268" w:name="_Toc46303734"/>
      <w:bookmarkStart w:id="269" w:name="_Toc405393395"/>
      <w:bookmarkStart w:id="270" w:name="_Toc99219085"/>
      <w:bookmarkStart w:id="271" w:name="_Toc407696152"/>
      <w:bookmarkStart w:id="272" w:name="_Toc99222640"/>
      <w:bookmarkStart w:id="273" w:name="_Toc407697910"/>
      <w:bookmarkStart w:id="274" w:name="_Toc99220070"/>
      <w:bookmarkStart w:id="275" w:name="_Toc93520585"/>
      <w:r>
        <w:rPr>
          <w:rFonts w:hint="eastAsia"/>
        </w:rPr>
        <w:t>（一）学分要求</w:t>
      </w:r>
      <w:bookmarkEnd w:id="267"/>
      <w:bookmarkEnd w:id="268"/>
      <w:bookmarkEnd w:id="269"/>
      <w:bookmarkEnd w:id="270"/>
      <w:bookmarkEnd w:id="271"/>
      <w:bookmarkEnd w:id="272"/>
      <w:bookmarkEnd w:id="273"/>
      <w:bookmarkEnd w:id="274"/>
      <w:bookmarkEnd w:id="275"/>
    </w:p>
    <w:p>
      <w:pPr>
        <w:pStyle w:val="101"/>
        <w:ind w:firstLine="560"/>
      </w:pPr>
      <w:bookmarkStart w:id="276" w:name="_Hlk11874548"/>
      <w:r>
        <w:rPr>
          <w:rFonts w:hint="eastAsia"/>
        </w:rPr>
        <w:t>总学分：要求学生毕业最低学分1</w:t>
      </w:r>
      <w:r>
        <w:t>56</w:t>
      </w:r>
      <w:r>
        <w:rPr>
          <w:rFonts w:hint="eastAsia"/>
        </w:rPr>
        <w:t>学分。学分设定标准以授课（训练）学时数（或周数）为主要依据。</w:t>
      </w:r>
    </w:p>
    <w:bookmarkEnd w:id="276"/>
    <w:p>
      <w:pPr>
        <w:pStyle w:val="101"/>
        <w:ind w:firstLine="560"/>
      </w:pPr>
      <w:r>
        <w:rPr>
          <w:rFonts w:hint="eastAsia"/>
        </w:rPr>
        <w:t>1.</w:t>
      </w:r>
      <w:r>
        <w:t xml:space="preserve"> </w:t>
      </w:r>
      <w:r>
        <w:rPr>
          <w:rFonts w:hint="eastAsia"/>
        </w:rPr>
        <w:t>理论与实践一体化课程教学按每16学时1学分计；</w:t>
      </w:r>
    </w:p>
    <w:p>
      <w:pPr>
        <w:pStyle w:val="101"/>
        <w:ind w:firstLine="560"/>
      </w:pPr>
      <w:r>
        <w:rPr>
          <w:rFonts w:hint="eastAsia"/>
        </w:rPr>
        <w:t>2.</w:t>
      </w:r>
      <w:r>
        <w:t xml:space="preserve"> </w:t>
      </w:r>
      <w:r>
        <w:rPr>
          <w:rFonts w:hint="eastAsia"/>
        </w:rPr>
        <w:t>综合实践教学环节按每周1学分计；</w:t>
      </w:r>
    </w:p>
    <w:p>
      <w:pPr>
        <w:pStyle w:val="101"/>
        <w:ind w:firstLine="560"/>
      </w:pPr>
      <w:r>
        <w:rPr>
          <w:rFonts w:hint="eastAsia"/>
        </w:rPr>
        <w:t>3.</w:t>
      </w:r>
      <w:r>
        <w:t xml:space="preserve"> </w:t>
      </w:r>
      <w:r>
        <w:rPr>
          <w:rFonts w:hint="eastAsia"/>
        </w:rPr>
        <w:t>学分的最小计量单元为0.5学分。</w:t>
      </w:r>
    </w:p>
    <w:p>
      <w:pPr>
        <w:pStyle w:val="101"/>
        <w:ind w:firstLine="560"/>
      </w:pPr>
      <w:r>
        <w:rPr>
          <w:rFonts w:hint="eastAsia"/>
        </w:rPr>
        <w:t>4.</w:t>
      </w:r>
      <w:r>
        <w:t xml:space="preserve"> </w:t>
      </w:r>
      <w:r>
        <w:rPr>
          <w:rFonts w:hint="eastAsia"/>
        </w:rPr>
        <w:t>上级教育行政管理部门相关文件有明确的学分学时规定的，如《形势与政策》课程等情况，按照规定执行，不进行折算。</w:t>
      </w:r>
    </w:p>
    <w:p>
      <w:pPr>
        <w:pStyle w:val="101"/>
        <w:ind w:firstLine="560"/>
      </w:pPr>
      <w:r>
        <w:rPr>
          <w:rFonts w:hint="eastAsia"/>
        </w:rPr>
        <w:t>5.</w:t>
      </w:r>
      <w:r>
        <w:t xml:space="preserve"> </w:t>
      </w:r>
      <w:r>
        <w:rPr>
          <w:rFonts w:hint="eastAsia"/>
        </w:rPr>
        <w:t>实施学分奖励、以证代考抵学分和学分互认转换，具体办法按《德州科技职业学院学分制管理办法》及其配套实施细则执行。</w:t>
      </w:r>
    </w:p>
    <w:bookmarkEnd w:id="141"/>
    <w:bookmarkEnd w:id="142"/>
    <w:bookmarkEnd w:id="143"/>
    <w:bookmarkEnd w:id="144"/>
    <w:bookmarkEnd w:id="145"/>
    <w:p>
      <w:pPr>
        <w:pStyle w:val="92"/>
      </w:pPr>
      <w:bookmarkStart w:id="277" w:name="_Toc407696153"/>
      <w:bookmarkStart w:id="278" w:name="_Toc407697911"/>
      <w:bookmarkStart w:id="279" w:name="_Toc405393396"/>
      <w:bookmarkStart w:id="280" w:name="_Toc305418734"/>
      <w:bookmarkStart w:id="281" w:name="_Toc99222641"/>
      <w:bookmarkStart w:id="282" w:name="_Toc46303735"/>
      <w:bookmarkStart w:id="283" w:name="_Toc99220932"/>
      <w:bookmarkStart w:id="284" w:name="_Toc99219086"/>
      <w:bookmarkStart w:id="285" w:name="_Toc93520586"/>
      <w:bookmarkStart w:id="286" w:name="_Toc99220071"/>
      <w:bookmarkStart w:id="287" w:name="_Toc303837894"/>
      <w:r>
        <w:rPr>
          <w:rFonts w:hint="eastAsia"/>
        </w:rPr>
        <w:t>（二）</w:t>
      </w:r>
      <w:bookmarkEnd w:id="277"/>
      <w:bookmarkEnd w:id="278"/>
      <w:bookmarkEnd w:id="279"/>
      <w:bookmarkEnd w:id="280"/>
      <w:r>
        <w:rPr>
          <w:rFonts w:hint="eastAsia"/>
        </w:rPr>
        <w:t>证书要求</w:t>
      </w:r>
      <w:bookmarkEnd w:id="281"/>
      <w:bookmarkEnd w:id="282"/>
      <w:bookmarkEnd w:id="283"/>
      <w:bookmarkEnd w:id="284"/>
      <w:bookmarkEnd w:id="285"/>
      <w:bookmarkEnd w:id="286"/>
    </w:p>
    <w:p>
      <w:pPr>
        <w:pStyle w:val="89"/>
      </w:pPr>
      <w:r>
        <w:rPr>
          <w:rFonts w:hint="eastAsia"/>
        </w:rPr>
        <w:t>表</w:t>
      </w:r>
      <w:r>
        <w:t xml:space="preserve">11  </w:t>
      </w:r>
      <w:r>
        <w:rPr>
          <w:rFonts w:hint="eastAsia"/>
        </w:rPr>
        <w:t>通用证书要求</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063"/>
        <w:gridCol w:w="3116"/>
        <w:gridCol w:w="974"/>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4" w:type="pct"/>
            <w:vAlign w:val="center"/>
          </w:tcPr>
          <w:p>
            <w:pPr>
              <w:pStyle w:val="99"/>
              <w:framePr w:hSpace="0" w:wrap="auto" w:vAnchor="margin" w:hAnchor="text" w:xAlign="left" w:yAlign="inline"/>
              <w:rPr>
                <w:rFonts w:ascii="宋体" w:hAnsi="宋体"/>
                <w:b/>
              </w:rPr>
            </w:pPr>
            <w:r>
              <w:rPr>
                <w:rFonts w:hint="eastAsia" w:ascii="宋体" w:hAnsi="宋体"/>
                <w:b/>
              </w:rPr>
              <w:t>序号</w:t>
            </w:r>
          </w:p>
        </w:tc>
        <w:tc>
          <w:tcPr>
            <w:tcW w:w="1796" w:type="pct"/>
            <w:vAlign w:val="center"/>
          </w:tcPr>
          <w:p>
            <w:pPr>
              <w:pStyle w:val="99"/>
              <w:framePr w:hSpace="0" w:wrap="auto" w:vAnchor="margin" w:hAnchor="text" w:xAlign="left" w:yAlign="inline"/>
              <w:rPr>
                <w:rFonts w:ascii="宋体" w:hAnsi="宋体"/>
                <w:b/>
              </w:rPr>
            </w:pPr>
            <w:r>
              <w:rPr>
                <w:rFonts w:hint="eastAsia" w:ascii="宋体" w:hAnsi="宋体"/>
                <w:b/>
              </w:rPr>
              <w:t>职业资格名称</w:t>
            </w:r>
          </w:p>
        </w:tc>
        <w:tc>
          <w:tcPr>
            <w:tcW w:w="1827" w:type="pct"/>
            <w:vAlign w:val="center"/>
          </w:tcPr>
          <w:p>
            <w:pPr>
              <w:pStyle w:val="99"/>
              <w:framePr w:hSpace="0" w:wrap="auto" w:vAnchor="margin" w:hAnchor="text" w:xAlign="left" w:yAlign="inline"/>
              <w:rPr>
                <w:rFonts w:ascii="宋体" w:hAnsi="宋体"/>
                <w:b/>
              </w:rPr>
            </w:pPr>
            <w:r>
              <w:rPr>
                <w:rFonts w:hint="eastAsia" w:ascii="宋体" w:hAnsi="宋体"/>
                <w:b/>
              </w:rPr>
              <w:t>颁证单位</w:t>
            </w:r>
          </w:p>
        </w:tc>
        <w:tc>
          <w:tcPr>
            <w:tcW w:w="571" w:type="pct"/>
            <w:vAlign w:val="center"/>
          </w:tcPr>
          <w:p>
            <w:pPr>
              <w:pStyle w:val="99"/>
              <w:framePr w:hSpace="0" w:wrap="auto" w:vAnchor="margin" w:hAnchor="text" w:xAlign="left" w:yAlign="inline"/>
              <w:rPr>
                <w:rFonts w:ascii="宋体" w:hAnsi="宋体"/>
                <w:b/>
              </w:rPr>
            </w:pPr>
            <w:r>
              <w:rPr>
                <w:rFonts w:hint="eastAsia" w:ascii="宋体" w:hAnsi="宋体"/>
                <w:b/>
              </w:rPr>
              <w:t>等级</w:t>
            </w:r>
          </w:p>
        </w:tc>
        <w:tc>
          <w:tcPr>
            <w:tcW w:w="402" w:type="pct"/>
            <w:vAlign w:val="center"/>
          </w:tcPr>
          <w:p>
            <w:pPr>
              <w:pStyle w:val="99"/>
              <w:framePr w:hSpace="0" w:wrap="auto" w:vAnchor="margin" w:hAnchor="text" w:xAlign="left" w:yAlign="inline"/>
              <w:rPr>
                <w:rFonts w:ascii="宋体" w:hAnsi="宋体"/>
                <w:b/>
              </w:rPr>
            </w:pPr>
            <w:r>
              <w:rPr>
                <w:rFonts w:hint="eastAsia" w:ascii="宋体" w:hAnsi="宋体"/>
                <w:b/>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404" w:type="pct"/>
            <w:vAlign w:val="center"/>
          </w:tcPr>
          <w:p>
            <w:pPr>
              <w:pStyle w:val="99"/>
              <w:framePr w:hSpace="0" w:wrap="auto" w:vAnchor="margin" w:hAnchor="text" w:xAlign="left" w:yAlign="inline"/>
              <w:jc w:val="center"/>
              <w:rPr>
                <w:rFonts w:ascii="宋体" w:hAnsi="宋体"/>
              </w:rPr>
            </w:pPr>
            <w:r>
              <w:rPr>
                <w:rFonts w:ascii="宋体" w:hAnsi="宋体"/>
              </w:rPr>
              <w:t>1</w:t>
            </w:r>
          </w:p>
        </w:tc>
        <w:tc>
          <w:tcPr>
            <w:tcW w:w="1796" w:type="pct"/>
            <w:vAlign w:val="center"/>
          </w:tcPr>
          <w:p>
            <w:pPr>
              <w:pStyle w:val="99"/>
              <w:framePr w:hSpace="0" w:wrap="auto" w:vAnchor="margin" w:hAnchor="text" w:xAlign="left" w:yAlign="inline"/>
              <w:jc w:val="center"/>
              <w:rPr>
                <w:rFonts w:ascii="宋体" w:hAnsi="宋体"/>
              </w:rPr>
            </w:pPr>
            <w:r>
              <w:rPr>
                <w:rFonts w:hint="eastAsia" w:ascii="宋体" w:hAnsi="宋体"/>
              </w:rPr>
              <w:t>普通话水平测试等级证书</w:t>
            </w:r>
          </w:p>
        </w:tc>
        <w:tc>
          <w:tcPr>
            <w:tcW w:w="1827" w:type="pct"/>
            <w:vAlign w:val="center"/>
          </w:tcPr>
          <w:p>
            <w:pPr>
              <w:pStyle w:val="99"/>
              <w:framePr w:hSpace="0" w:wrap="auto" w:vAnchor="margin" w:hAnchor="text" w:xAlign="left" w:yAlign="inline"/>
              <w:jc w:val="center"/>
              <w:rPr>
                <w:rFonts w:ascii="宋体" w:hAnsi="宋体"/>
              </w:rPr>
            </w:pPr>
            <w:r>
              <w:rPr>
                <w:rFonts w:hint="eastAsia" w:ascii="宋体" w:hAnsi="宋体"/>
              </w:rPr>
              <w:t>山东省语言文字工作委员会</w:t>
            </w:r>
          </w:p>
        </w:tc>
        <w:tc>
          <w:tcPr>
            <w:tcW w:w="571" w:type="pct"/>
            <w:vAlign w:val="center"/>
          </w:tcPr>
          <w:p>
            <w:pPr>
              <w:pStyle w:val="99"/>
              <w:framePr w:hSpace="0" w:wrap="auto" w:vAnchor="margin" w:hAnchor="text" w:xAlign="left" w:yAlign="inline"/>
              <w:jc w:val="center"/>
              <w:rPr>
                <w:rFonts w:ascii="宋体" w:hAnsi="宋体"/>
              </w:rPr>
            </w:pPr>
            <w:r>
              <w:rPr>
                <w:rFonts w:hint="eastAsia" w:ascii="宋体" w:hAnsi="宋体"/>
              </w:rPr>
              <w:t>二级乙等及以上</w:t>
            </w:r>
          </w:p>
        </w:tc>
        <w:tc>
          <w:tcPr>
            <w:tcW w:w="402" w:type="pct"/>
            <w:vAlign w:val="center"/>
          </w:tcPr>
          <w:p>
            <w:pPr>
              <w:pStyle w:val="99"/>
              <w:framePr w:hSpace="0" w:wrap="auto" w:vAnchor="margin" w:hAnchor="text" w:xAlign="left" w:yAlign="inline"/>
              <w:jc w:val="center"/>
              <w:rPr>
                <w:rFonts w:ascii="宋体" w:hAnsi="宋体"/>
              </w:rPr>
            </w:pPr>
            <w:r>
              <w:rPr>
                <w:rFonts w:hint="eastAsia" w:ascii="宋体" w:hAnsi="宋体"/>
              </w:rPr>
              <w:t>必取</w:t>
            </w:r>
          </w:p>
        </w:tc>
      </w:tr>
    </w:tbl>
    <w:p>
      <w:pPr>
        <w:pStyle w:val="89"/>
      </w:pPr>
      <w:r>
        <w:rPr>
          <w:rFonts w:hint="eastAsia"/>
        </w:rPr>
        <w:t>表</w:t>
      </w:r>
      <w:r>
        <w:t xml:space="preserve">12  </w:t>
      </w:r>
      <w:r>
        <w:rPr>
          <w:rFonts w:hint="eastAsia"/>
        </w:rPr>
        <w:t>职业资格/职业技能等级证书要求</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063"/>
        <w:gridCol w:w="2857"/>
        <w:gridCol w:w="1233"/>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404" w:type="pct"/>
            <w:vAlign w:val="center"/>
          </w:tcPr>
          <w:p>
            <w:pPr>
              <w:pStyle w:val="99"/>
              <w:framePr w:wrap="around"/>
              <w:rPr>
                <w:rFonts w:ascii="宋体" w:hAnsi="宋体"/>
                <w:b/>
              </w:rPr>
            </w:pPr>
            <w:r>
              <w:rPr>
                <w:rFonts w:hint="eastAsia" w:ascii="宋体" w:hAnsi="宋体"/>
                <w:b/>
              </w:rPr>
              <w:t>序号</w:t>
            </w:r>
          </w:p>
        </w:tc>
        <w:tc>
          <w:tcPr>
            <w:tcW w:w="1796" w:type="pct"/>
            <w:vAlign w:val="center"/>
          </w:tcPr>
          <w:p>
            <w:pPr>
              <w:pStyle w:val="99"/>
              <w:framePr w:wrap="around"/>
              <w:rPr>
                <w:rFonts w:ascii="宋体" w:hAnsi="宋体"/>
                <w:b/>
              </w:rPr>
            </w:pPr>
            <w:r>
              <w:rPr>
                <w:rFonts w:hint="eastAsia" w:ascii="宋体" w:hAnsi="宋体"/>
                <w:b/>
              </w:rPr>
              <w:t>证书名称</w:t>
            </w:r>
          </w:p>
        </w:tc>
        <w:tc>
          <w:tcPr>
            <w:tcW w:w="1675" w:type="pct"/>
            <w:vAlign w:val="center"/>
          </w:tcPr>
          <w:p>
            <w:pPr>
              <w:pStyle w:val="99"/>
              <w:framePr w:wrap="around"/>
              <w:rPr>
                <w:rFonts w:ascii="宋体" w:hAnsi="宋体"/>
                <w:b/>
              </w:rPr>
            </w:pPr>
            <w:r>
              <w:rPr>
                <w:rFonts w:hint="eastAsia" w:ascii="宋体" w:hAnsi="宋体"/>
                <w:b/>
              </w:rPr>
              <w:t>颁证单位</w:t>
            </w:r>
          </w:p>
        </w:tc>
        <w:tc>
          <w:tcPr>
            <w:tcW w:w="723" w:type="pct"/>
            <w:vAlign w:val="center"/>
          </w:tcPr>
          <w:p>
            <w:pPr>
              <w:pStyle w:val="99"/>
              <w:framePr w:wrap="around"/>
              <w:rPr>
                <w:rFonts w:ascii="宋体" w:hAnsi="宋体"/>
                <w:b/>
              </w:rPr>
            </w:pPr>
            <w:r>
              <w:rPr>
                <w:rFonts w:hint="eastAsia" w:ascii="宋体" w:hAnsi="宋体"/>
                <w:b/>
              </w:rPr>
              <w:t>等级</w:t>
            </w:r>
          </w:p>
        </w:tc>
        <w:tc>
          <w:tcPr>
            <w:tcW w:w="402" w:type="pct"/>
            <w:vAlign w:val="center"/>
          </w:tcPr>
          <w:p>
            <w:pPr>
              <w:pStyle w:val="99"/>
              <w:framePr w:wrap="around"/>
              <w:rPr>
                <w:rFonts w:ascii="宋体" w:hAnsi="宋体"/>
                <w:b/>
              </w:rPr>
            </w:pPr>
            <w:r>
              <w:rPr>
                <w:rFonts w:hint="eastAsia" w:ascii="宋体" w:hAnsi="宋体"/>
                <w:b/>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404" w:type="pct"/>
            <w:vAlign w:val="center"/>
          </w:tcPr>
          <w:p>
            <w:pPr>
              <w:pStyle w:val="99"/>
              <w:framePr w:wrap="around"/>
              <w:jc w:val="center"/>
              <w:rPr>
                <w:rFonts w:ascii="宋体" w:hAnsi="宋体"/>
              </w:rPr>
            </w:pPr>
            <w:r>
              <w:rPr>
                <w:rFonts w:hint="eastAsia" w:ascii="宋体" w:hAnsi="宋体"/>
              </w:rPr>
              <w:t>1</w:t>
            </w:r>
          </w:p>
        </w:tc>
        <w:tc>
          <w:tcPr>
            <w:tcW w:w="1796" w:type="pct"/>
            <w:vAlign w:val="center"/>
          </w:tcPr>
          <w:p>
            <w:pPr>
              <w:pStyle w:val="99"/>
              <w:framePr w:wrap="around"/>
              <w:jc w:val="center"/>
              <w:rPr>
                <w:rFonts w:ascii="宋体" w:hAnsi="宋体"/>
              </w:rPr>
            </w:pPr>
            <w:r>
              <w:rPr>
                <w:rFonts w:hint="eastAsia" w:ascii="宋体" w:hAnsi="宋体"/>
              </w:rPr>
              <w:t>网络安全工程师</w:t>
            </w:r>
          </w:p>
        </w:tc>
        <w:tc>
          <w:tcPr>
            <w:tcW w:w="1675" w:type="pct"/>
            <w:vAlign w:val="center"/>
          </w:tcPr>
          <w:p>
            <w:pPr>
              <w:pStyle w:val="99"/>
              <w:framePr w:wrap="around"/>
              <w:jc w:val="center"/>
              <w:rPr>
                <w:rFonts w:ascii="宋体" w:hAnsi="宋体"/>
              </w:rPr>
            </w:pPr>
            <w:r>
              <w:rPr>
                <w:rFonts w:hint="eastAsia" w:ascii="宋体" w:hAnsi="宋体" w:cs="宋体"/>
                <w:kern w:val="0"/>
              </w:rPr>
              <w:t>人社部</w:t>
            </w:r>
          </w:p>
        </w:tc>
        <w:tc>
          <w:tcPr>
            <w:tcW w:w="723" w:type="pct"/>
            <w:vAlign w:val="center"/>
          </w:tcPr>
          <w:p>
            <w:pPr>
              <w:pStyle w:val="99"/>
              <w:framePr w:wrap="around"/>
              <w:jc w:val="center"/>
              <w:rPr>
                <w:rFonts w:ascii="宋体" w:hAnsi="宋体"/>
              </w:rPr>
            </w:pPr>
            <w:r>
              <w:rPr>
                <w:rFonts w:hint="eastAsia" w:ascii="宋体" w:hAnsi="宋体"/>
              </w:rPr>
              <w:t>中级</w:t>
            </w:r>
            <w:r>
              <w:rPr>
                <w:rFonts w:ascii="宋体" w:hAnsi="宋体"/>
              </w:rPr>
              <w:t>及以</w:t>
            </w:r>
            <w:r>
              <w:rPr>
                <w:rFonts w:hint="eastAsia" w:ascii="宋体" w:hAnsi="宋体"/>
              </w:rPr>
              <w:t>上</w:t>
            </w:r>
          </w:p>
        </w:tc>
        <w:tc>
          <w:tcPr>
            <w:tcW w:w="402" w:type="pct"/>
            <w:vAlign w:val="center"/>
          </w:tcPr>
          <w:p>
            <w:pPr>
              <w:pStyle w:val="99"/>
              <w:framePr w:wrap="around"/>
              <w:jc w:val="center"/>
              <w:rPr>
                <w:rFonts w:ascii="宋体" w:hAnsi="宋体"/>
              </w:rPr>
            </w:pPr>
            <w:r>
              <w:rPr>
                <w:rFonts w:hint="eastAsia" w:ascii="宋体" w:hAnsi="宋体"/>
              </w:rPr>
              <w:t>选取</w:t>
            </w:r>
          </w:p>
        </w:tc>
      </w:tr>
      <w:bookmarkEnd w:id="287"/>
    </w:tbl>
    <w:p>
      <w:pPr>
        <w:pStyle w:val="101"/>
        <w:ind w:left="0" w:leftChars="0" w:firstLine="0" w:firstLineChars="0"/>
      </w:pPr>
    </w:p>
    <w:sectPr>
      <w:pgSz w:w="11906" w:h="16838"/>
      <w:pgMar w:top="1440" w:right="1797" w:bottom="1440" w:left="1797" w:header="851" w:footer="794" w:gutter="0"/>
      <w:cols w:space="425" w:num="1"/>
      <w:docGrid w:type="linesAndChar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readOnly" w:enforcement="0"/>
  <w:defaultTabStop w:val="420"/>
  <w:drawingGridHorizontalSpacing w:val="104"/>
  <w:drawingGridVerticalSpacing w:val="317"/>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YTc3MmE5NzY5YjUwZjI3M2Y4MWY2ZTQzZDYxYzIifQ=="/>
  </w:docVars>
  <w:rsids>
    <w:rsidRoot w:val="00CF6CDA"/>
    <w:rsid w:val="000003C6"/>
    <w:rsid w:val="000020AF"/>
    <w:rsid w:val="000044F0"/>
    <w:rsid w:val="00006810"/>
    <w:rsid w:val="00010678"/>
    <w:rsid w:val="00013C71"/>
    <w:rsid w:val="00014441"/>
    <w:rsid w:val="00014E26"/>
    <w:rsid w:val="000163B4"/>
    <w:rsid w:val="000220D7"/>
    <w:rsid w:val="00022F38"/>
    <w:rsid w:val="00025877"/>
    <w:rsid w:val="00031780"/>
    <w:rsid w:val="0003357F"/>
    <w:rsid w:val="00035A77"/>
    <w:rsid w:val="0003637C"/>
    <w:rsid w:val="0003685C"/>
    <w:rsid w:val="000431BB"/>
    <w:rsid w:val="000503AB"/>
    <w:rsid w:val="0005320E"/>
    <w:rsid w:val="00056FA4"/>
    <w:rsid w:val="000573E0"/>
    <w:rsid w:val="0005763F"/>
    <w:rsid w:val="00062071"/>
    <w:rsid w:val="000623D1"/>
    <w:rsid w:val="00063BA5"/>
    <w:rsid w:val="00064C3F"/>
    <w:rsid w:val="00066249"/>
    <w:rsid w:val="00075C54"/>
    <w:rsid w:val="00075D3E"/>
    <w:rsid w:val="00081492"/>
    <w:rsid w:val="00082A32"/>
    <w:rsid w:val="00082BD4"/>
    <w:rsid w:val="000833B0"/>
    <w:rsid w:val="00086999"/>
    <w:rsid w:val="00092C62"/>
    <w:rsid w:val="00096BF8"/>
    <w:rsid w:val="000976FC"/>
    <w:rsid w:val="000A2DC6"/>
    <w:rsid w:val="000A7C14"/>
    <w:rsid w:val="000B0368"/>
    <w:rsid w:val="000B1D85"/>
    <w:rsid w:val="000B5C4F"/>
    <w:rsid w:val="000B6DDB"/>
    <w:rsid w:val="000C2055"/>
    <w:rsid w:val="000C5531"/>
    <w:rsid w:val="000C6582"/>
    <w:rsid w:val="000C67F4"/>
    <w:rsid w:val="000C76D7"/>
    <w:rsid w:val="000D0CC1"/>
    <w:rsid w:val="000D3C70"/>
    <w:rsid w:val="000D5C41"/>
    <w:rsid w:val="000E0112"/>
    <w:rsid w:val="000E2B1F"/>
    <w:rsid w:val="000E386E"/>
    <w:rsid w:val="000E4D15"/>
    <w:rsid w:val="000E4E69"/>
    <w:rsid w:val="000F1170"/>
    <w:rsid w:val="000F40CB"/>
    <w:rsid w:val="000F626F"/>
    <w:rsid w:val="00103363"/>
    <w:rsid w:val="00110CAC"/>
    <w:rsid w:val="0011243F"/>
    <w:rsid w:val="00113660"/>
    <w:rsid w:val="00113DEF"/>
    <w:rsid w:val="00117A83"/>
    <w:rsid w:val="00121022"/>
    <w:rsid w:val="001210A3"/>
    <w:rsid w:val="001220BF"/>
    <w:rsid w:val="00122899"/>
    <w:rsid w:val="001233DE"/>
    <w:rsid w:val="00126214"/>
    <w:rsid w:val="0013021A"/>
    <w:rsid w:val="001302C5"/>
    <w:rsid w:val="00135EC0"/>
    <w:rsid w:val="00137A68"/>
    <w:rsid w:val="00141B3D"/>
    <w:rsid w:val="00142312"/>
    <w:rsid w:val="0014701B"/>
    <w:rsid w:val="00147182"/>
    <w:rsid w:val="00151133"/>
    <w:rsid w:val="001529BA"/>
    <w:rsid w:val="00153452"/>
    <w:rsid w:val="00156282"/>
    <w:rsid w:val="0015641D"/>
    <w:rsid w:val="00156D20"/>
    <w:rsid w:val="00157BC0"/>
    <w:rsid w:val="001613EC"/>
    <w:rsid w:val="00162C99"/>
    <w:rsid w:val="00164C54"/>
    <w:rsid w:val="0016794B"/>
    <w:rsid w:val="00171DCA"/>
    <w:rsid w:val="00172032"/>
    <w:rsid w:val="00174503"/>
    <w:rsid w:val="001752A5"/>
    <w:rsid w:val="001771B3"/>
    <w:rsid w:val="00181E7D"/>
    <w:rsid w:val="00182F76"/>
    <w:rsid w:val="00183DC1"/>
    <w:rsid w:val="00184CF1"/>
    <w:rsid w:val="00185018"/>
    <w:rsid w:val="00187FF1"/>
    <w:rsid w:val="00190178"/>
    <w:rsid w:val="00191D6B"/>
    <w:rsid w:val="00191E06"/>
    <w:rsid w:val="00192CAF"/>
    <w:rsid w:val="001937FB"/>
    <w:rsid w:val="001965D0"/>
    <w:rsid w:val="00196646"/>
    <w:rsid w:val="001973DF"/>
    <w:rsid w:val="001979A5"/>
    <w:rsid w:val="001A0E51"/>
    <w:rsid w:val="001A187D"/>
    <w:rsid w:val="001A4BC1"/>
    <w:rsid w:val="001A6C74"/>
    <w:rsid w:val="001B4FC0"/>
    <w:rsid w:val="001C1079"/>
    <w:rsid w:val="001C7EAF"/>
    <w:rsid w:val="001C7FC6"/>
    <w:rsid w:val="001D23E3"/>
    <w:rsid w:val="001D3E54"/>
    <w:rsid w:val="001E24C4"/>
    <w:rsid w:val="001E25F4"/>
    <w:rsid w:val="001F099F"/>
    <w:rsid w:val="001F10EA"/>
    <w:rsid w:val="001F3DDC"/>
    <w:rsid w:val="001F51C7"/>
    <w:rsid w:val="00201E6E"/>
    <w:rsid w:val="00205C94"/>
    <w:rsid w:val="0020627A"/>
    <w:rsid w:val="00206495"/>
    <w:rsid w:val="00213A80"/>
    <w:rsid w:val="00224655"/>
    <w:rsid w:val="002271C5"/>
    <w:rsid w:val="0023519A"/>
    <w:rsid w:val="00235930"/>
    <w:rsid w:val="00235E18"/>
    <w:rsid w:val="00237BA9"/>
    <w:rsid w:val="00243D68"/>
    <w:rsid w:val="00244FF4"/>
    <w:rsid w:val="0024785F"/>
    <w:rsid w:val="00250947"/>
    <w:rsid w:val="00250C1C"/>
    <w:rsid w:val="00250C36"/>
    <w:rsid w:val="002528AE"/>
    <w:rsid w:val="002529C1"/>
    <w:rsid w:val="00256672"/>
    <w:rsid w:val="002567AE"/>
    <w:rsid w:val="00256D08"/>
    <w:rsid w:val="00257A74"/>
    <w:rsid w:val="00263DF8"/>
    <w:rsid w:val="00264F43"/>
    <w:rsid w:val="00264F5E"/>
    <w:rsid w:val="00265D01"/>
    <w:rsid w:val="002663DA"/>
    <w:rsid w:val="00266462"/>
    <w:rsid w:val="00270761"/>
    <w:rsid w:val="00270EF3"/>
    <w:rsid w:val="002748B1"/>
    <w:rsid w:val="0027505D"/>
    <w:rsid w:val="002776FD"/>
    <w:rsid w:val="00284B4A"/>
    <w:rsid w:val="00284D9E"/>
    <w:rsid w:val="00287AB8"/>
    <w:rsid w:val="002901A7"/>
    <w:rsid w:val="0029054C"/>
    <w:rsid w:val="0029073E"/>
    <w:rsid w:val="002911B4"/>
    <w:rsid w:val="00293065"/>
    <w:rsid w:val="002964DB"/>
    <w:rsid w:val="00297A3B"/>
    <w:rsid w:val="002A182D"/>
    <w:rsid w:val="002A35AA"/>
    <w:rsid w:val="002A4EAA"/>
    <w:rsid w:val="002A66CC"/>
    <w:rsid w:val="002B0108"/>
    <w:rsid w:val="002B4F5E"/>
    <w:rsid w:val="002B7A86"/>
    <w:rsid w:val="002C17E0"/>
    <w:rsid w:val="002C2EB4"/>
    <w:rsid w:val="002C6CAC"/>
    <w:rsid w:val="002C759F"/>
    <w:rsid w:val="002D1968"/>
    <w:rsid w:val="002D309A"/>
    <w:rsid w:val="002D4310"/>
    <w:rsid w:val="002D56C9"/>
    <w:rsid w:val="002E1DDD"/>
    <w:rsid w:val="002E48E3"/>
    <w:rsid w:val="002E4DA3"/>
    <w:rsid w:val="002E6BB6"/>
    <w:rsid w:val="002F2C84"/>
    <w:rsid w:val="002F36A1"/>
    <w:rsid w:val="0030066A"/>
    <w:rsid w:val="00303078"/>
    <w:rsid w:val="0030673E"/>
    <w:rsid w:val="003102E0"/>
    <w:rsid w:val="003149A7"/>
    <w:rsid w:val="00316DF1"/>
    <w:rsid w:val="00322C6C"/>
    <w:rsid w:val="00323514"/>
    <w:rsid w:val="00324DA7"/>
    <w:rsid w:val="00325673"/>
    <w:rsid w:val="00334BF6"/>
    <w:rsid w:val="00337783"/>
    <w:rsid w:val="00342877"/>
    <w:rsid w:val="0034437A"/>
    <w:rsid w:val="00346238"/>
    <w:rsid w:val="00346E99"/>
    <w:rsid w:val="00351B6F"/>
    <w:rsid w:val="00354CAA"/>
    <w:rsid w:val="003554B0"/>
    <w:rsid w:val="003565F7"/>
    <w:rsid w:val="00356667"/>
    <w:rsid w:val="00357363"/>
    <w:rsid w:val="00361F7B"/>
    <w:rsid w:val="00362EB8"/>
    <w:rsid w:val="00367367"/>
    <w:rsid w:val="003731C9"/>
    <w:rsid w:val="00373B68"/>
    <w:rsid w:val="00373D60"/>
    <w:rsid w:val="0037423A"/>
    <w:rsid w:val="00380B97"/>
    <w:rsid w:val="003816AD"/>
    <w:rsid w:val="0038254C"/>
    <w:rsid w:val="00391472"/>
    <w:rsid w:val="003A10DF"/>
    <w:rsid w:val="003A6716"/>
    <w:rsid w:val="003B21A9"/>
    <w:rsid w:val="003B2454"/>
    <w:rsid w:val="003B44A5"/>
    <w:rsid w:val="003B6C31"/>
    <w:rsid w:val="003C1E75"/>
    <w:rsid w:val="003C76D3"/>
    <w:rsid w:val="003D125F"/>
    <w:rsid w:val="003D6D09"/>
    <w:rsid w:val="003E0F1F"/>
    <w:rsid w:val="003E15C8"/>
    <w:rsid w:val="003E22A1"/>
    <w:rsid w:val="003E4949"/>
    <w:rsid w:val="003E657C"/>
    <w:rsid w:val="003E6ECC"/>
    <w:rsid w:val="003F0ABC"/>
    <w:rsid w:val="003F0EF9"/>
    <w:rsid w:val="003F374B"/>
    <w:rsid w:val="003F3A41"/>
    <w:rsid w:val="003F50F8"/>
    <w:rsid w:val="004042BF"/>
    <w:rsid w:val="004045AE"/>
    <w:rsid w:val="00406711"/>
    <w:rsid w:val="004070D4"/>
    <w:rsid w:val="004075D1"/>
    <w:rsid w:val="00407B4A"/>
    <w:rsid w:val="00410A4D"/>
    <w:rsid w:val="00410F83"/>
    <w:rsid w:val="004112B0"/>
    <w:rsid w:val="00411566"/>
    <w:rsid w:val="0041573A"/>
    <w:rsid w:val="00417AF2"/>
    <w:rsid w:val="004207BD"/>
    <w:rsid w:val="00423C00"/>
    <w:rsid w:val="0042416A"/>
    <w:rsid w:val="00424E31"/>
    <w:rsid w:val="00425D01"/>
    <w:rsid w:val="00426BE3"/>
    <w:rsid w:val="00430292"/>
    <w:rsid w:val="004306E7"/>
    <w:rsid w:val="004333A7"/>
    <w:rsid w:val="00440189"/>
    <w:rsid w:val="0044201C"/>
    <w:rsid w:val="0044411A"/>
    <w:rsid w:val="00444A95"/>
    <w:rsid w:val="00445814"/>
    <w:rsid w:val="00445BDA"/>
    <w:rsid w:val="00447860"/>
    <w:rsid w:val="0045467B"/>
    <w:rsid w:val="00454DBC"/>
    <w:rsid w:val="00457814"/>
    <w:rsid w:val="00461F8B"/>
    <w:rsid w:val="004635E5"/>
    <w:rsid w:val="004660D9"/>
    <w:rsid w:val="00466D24"/>
    <w:rsid w:val="00466E35"/>
    <w:rsid w:val="00470D5C"/>
    <w:rsid w:val="00481161"/>
    <w:rsid w:val="0048389E"/>
    <w:rsid w:val="00484D99"/>
    <w:rsid w:val="004850B1"/>
    <w:rsid w:val="00492BD3"/>
    <w:rsid w:val="0049563D"/>
    <w:rsid w:val="0049646C"/>
    <w:rsid w:val="00497616"/>
    <w:rsid w:val="00497E2B"/>
    <w:rsid w:val="004A00E1"/>
    <w:rsid w:val="004A0489"/>
    <w:rsid w:val="004A1D89"/>
    <w:rsid w:val="004A32BF"/>
    <w:rsid w:val="004A32F7"/>
    <w:rsid w:val="004A4B31"/>
    <w:rsid w:val="004A55F1"/>
    <w:rsid w:val="004A6154"/>
    <w:rsid w:val="004A6F23"/>
    <w:rsid w:val="004B4DBF"/>
    <w:rsid w:val="004B5B6C"/>
    <w:rsid w:val="004B5D8D"/>
    <w:rsid w:val="004B7871"/>
    <w:rsid w:val="004C1971"/>
    <w:rsid w:val="004C36F4"/>
    <w:rsid w:val="004C70FB"/>
    <w:rsid w:val="004D06D9"/>
    <w:rsid w:val="004D101D"/>
    <w:rsid w:val="004D6CEA"/>
    <w:rsid w:val="004E2668"/>
    <w:rsid w:val="004E3B38"/>
    <w:rsid w:val="004E6EF8"/>
    <w:rsid w:val="004F1847"/>
    <w:rsid w:val="004F19DA"/>
    <w:rsid w:val="005017DE"/>
    <w:rsid w:val="00504F69"/>
    <w:rsid w:val="0050566A"/>
    <w:rsid w:val="00506D93"/>
    <w:rsid w:val="00512EDB"/>
    <w:rsid w:val="00515824"/>
    <w:rsid w:val="005171E4"/>
    <w:rsid w:val="0051762C"/>
    <w:rsid w:val="00517AA8"/>
    <w:rsid w:val="00517E4A"/>
    <w:rsid w:val="0052165D"/>
    <w:rsid w:val="005216DB"/>
    <w:rsid w:val="00525406"/>
    <w:rsid w:val="00525DF9"/>
    <w:rsid w:val="00526B4A"/>
    <w:rsid w:val="00530237"/>
    <w:rsid w:val="00530DA0"/>
    <w:rsid w:val="00530DBA"/>
    <w:rsid w:val="0053103F"/>
    <w:rsid w:val="0053158D"/>
    <w:rsid w:val="00531740"/>
    <w:rsid w:val="00533237"/>
    <w:rsid w:val="00537D20"/>
    <w:rsid w:val="00545791"/>
    <w:rsid w:val="005464C9"/>
    <w:rsid w:val="00550EB3"/>
    <w:rsid w:val="005524A1"/>
    <w:rsid w:val="005558BA"/>
    <w:rsid w:val="00563C56"/>
    <w:rsid w:val="005640E7"/>
    <w:rsid w:val="00571610"/>
    <w:rsid w:val="00577B27"/>
    <w:rsid w:val="00580810"/>
    <w:rsid w:val="0058474C"/>
    <w:rsid w:val="00585C09"/>
    <w:rsid w:val="0059116E"/>
    <w:rsid w:val="00591412"/>
    <w:rsid w:val="005915F0"/>
    <w:rsid w:val="00591CE3"/>
    <w:rsid w:val="00592E0B"/>
    <w:rsid w:val="005946EE"/>
    <w:rsid w:val="00594F35"/>
    <w:rsid w:val="00595287"/>
    <w:rsid w:val="00597371"/>
    <w:rsid w:val="00597C3B"/>
    <w:rsid w:val="005A0AEB"/>
    <w:rsid w:val="005A0EFC"/>
    <w:rsid w:val="005A108A"/>
    <w:rsid w:val="005A2FBF"/>
    <w:rsid w:val="005A4E1B"/>
    <w:rsid w:val="005B0E98"/>
    <w:rsid w:val="005B4D36"/>
    <w:rsid w:val="005C2AC0"/>
    <w:rsid w:val="005C33EB"/>
    <w:rsid w:val="005D19BE"/>
    <w:rsid w:val="005D1EEF"/>
    <w:rsid w:val="005D2ADE"/>
    <w:rsid w:val="005D42D4"/>
    <w:rsid w:val="005D442C"/>
    <w:rsid w:val="005D4462"/>
    <w:rsid w:val="005D5A5E"/>
    <w:rsid w:val="005D5CCB"/>
    <w:rsid w:val="005D783D"/>
    <w:rsid w:val="005E1C63"/>
    <w:rsid w:val="005E63A2"/>
    <w:rsid w:val="005E6CF9"/>
    <w:rsid w:val="00600303"/>
    <w:rsid w:val="00604FC2"/>
    <w:rsid w:val="00605F88"/>
    <w:rsid w:val="00612CD6"/>
    <w:rsid w:val="00615AFC"/>
    <w:rsid w:val="0061603D"/>
    <w:rsid w:val="00616C6F"/>
    <w:rsid w:val="00617C5E"/>
    <w:rsid w:val="00620535"/>
    <w:rsid w:val="00624A02"/>
    <w:rsid w:val="00624C5E"/>
    <w:rsid w:val="00624CA0"/>
    <w:rsid w:val="00624D0D"/>
    <w:rsid w:val="00635724"/>
    <w:rsid w:val="006416FB"/>
    <w:rsid w:val="00644DE3"/>
    <w:rsid w:val="00645049"/>
    <w:rsid w:val="00651F8A"/>
    <w:rsid w:val="00654F07"/>
    <w:rsid w:val="00656676"/>
    <w:rsid w:val="0066058E"/>
    <w:rsid w:val="006629AA"/>
    <w:rsid w:val="00663C2A"/>
    <w:rsid w:val="00670314"/>
    <w:rsid w:val="00674A05"/>
    <w:rsid w:val="00675A54"/>
    <w:rsid w:val="006760CE"/>
    <w:rsid w:val="00676CBD"/>
    <w:rsid w:val="00681419"/>
    <w:rsid w:val="00683382"/>
    <w:rsid w:val="006867CA"/>
    <w:rsid w:val="006932E6"/>
    <w:rsid w:val="00694043"/>
    <w:rsid w:val="00694201"/>
    <w:rsid w:val="0069734B"/>
    <w:rsid w:val="006A03A6"/>
    <w:rsid w:val="006A3E54"/>
    <w:rsid w:val="006A3F9D"/>
    <w:rsid w:val="006A502C"/>
    <w:rsid w:val="006A648B"/>
    <w:rsid w:val="006B289D"/>
    <w:rsid w:val="006B3B0D"/>
    <w:rsid w:val="006B4CE9"/>
    <w:rsid w:val="006B575C"/>
    <w:rsid w:val="006D0106"/>
    <w:rsid w:val="006D2FA6"/>
    <w:rsid w:val="006D4C37"/>
    <w:rsid w:val="006D4D1C"/>
    <w:rsid w:val="006D4FA8"/>
    <w:rsid w:val="006D65F1"/>
    <w:rsid w:val="006D714A"/>
    <w:rsid w:val="006D7192"/>
    <w:rsid w:val="006E07E7"/>
    <w:rsid w:val="006E08F1"/>
    <w:rsid w:val="006E468B"/>
    <w:rsid w:val="006E6A08"/>
    <w:rsid w:val="006E73C8"/>
    <w:rsid w:val="00702051"/>
    <w:rsid w:val="0070220F"/>
    <w:rsid w:val="00704C85"/>
    <w:rsid w:val="00705CCD"/>
    <w:rsid w:val="00711CC6"/>
    <w:rsid w:val="00713A32"/>
    <w:rsid w:val="007230C7"/>
    <w:rsid w:val="007233B5"/>
    <w:rsid w:val="007250BF"/>
    <w:rsid w:val="007261BF"/>
    <w:rsid w:val="00732ECF"/>
    <w:rsid w:val="007370A2"/>
    <w:rsid w:val="007401EC"/>
    <w:rsid w:val="0074182A"/>
    <w:rsid w:val="00744545"/>
    <w:rsid w:val="00747188"/>
    <w:rsid w:val="007509D2"/>
    <w:rsid w:val="007529EA"/>
    <w:rsid w:val="00754939"/>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4411"/>
    <w:rsid w:val="0079699D"/>
    <w:rsid w:val="00796C89"/>
    <w:rsid w:val="007A0612"/>
    <w:rsid w:val="007A15A0"/>
    <w:rsid w:val="007A220B"/>
    <w:rsid w:val="007A224E"/>
    <w:rsid w:val="007A2EC7"/>
    <w:rsid w:val="007A3EA9"/>
    <w:rsid w:val="007A6CF1"/>
    <w:rsid w:val="007B34E2"/>
    <w:rsid w:val="007B3DA3"/>
    <w:rsid w:val="007C0759"/>
    <w:rsid w:val="007C273F"/>
    <w:rsid w:val="007C2C5F"/>
    <w:rsid w:val="007C44EE"/>
    <w:rsid w:val="007D06C8"/>
    <w:rsid w:val="007D31A5"/>
    <w:rsid w:val="007D3AEE"/>
    <w:rsid w:val="007D4D2A"/>
    <w:rsid w:val="007D4FAF"/>
    <w:rsid w:val="007D5983"/>
    <w:rsid w:val="007D5BAC"/>
    <w:rsid w:val="007D61BB"/>
    <w:rsid w:val="007E0432"/>
    <w:rsid w:val="007E0518"/>
    <w:rsid w:val="007E4772"/>
    <w:rsid w:val="007E6D79"/>
    <w:rsid w:val="007E6FEA"/>
    <w:rsid w:val="007E7623"/>
    <w:rsid w:val="007E7B1D"/>
    <w:rsid w:val="007E7F98"/>
    <w:rsid w:val="007F45FB"/>
    <w:rsid w:val="007F5ECF"/>
    <w:rsid w:val="00800501"/>
    <w:rsid w:val="008025E7"/>
    <w:rsid w:val="00805C22"/>
    <w:rsid w:val="00812A93"/>
    <w:rsid w:val="00816F0D"/>
    <w:rsid w:val="00822965"/>
    <w:rsid w:val="008269CB"/>
    <w:rsid w:val="00837599"/>
    <w:rsid w:val="00841258"/>
    <w:rsid w:val="00842BEB"/>
    <w:rsid w:val="00844E0C"/>
    <w:rsid w:val="008453FA"/>
    <w:rsid w:val="00855E92"/>
    <w:rsid w:val="00856917"/>
    <w:rsid w:val="00860807"/>
    <w:rsid w:val="008608D7"/>
    <w:rsid w:val="0086275F"/>
    <w:rsid w:val="008627D9"/>
    <w:rsid w:val="00866372"/>
    <w:rsid w:val="008740BF"/>
    <w:rsid w:val="008743A3"/>
    <w:rsid w:val="008745BC"/>
    <w:rsid w:val="00874FD7"/>
    <w:rsid w:val="00880529"/>
    <w:rsid w:val="0088087A"/>
    <w:rsid w:val="008810DA"/>
    <w:rsid w:val="00881103"/>
    <w:rsid w:val="0088269B"/>
    <w:rsid w:val="00883993"/>
    <w:rsid w:val="00884C40"/>
    <w:rsid w:val="0088540E"/>
    <w:rsid w:val="00886B78"/>
    <w:rsid w:val="00887335"/>
    <w:rsid w:val="00887D56"/>
    <w:rsid w:val="008933E2"/>
    <w:rsid w:val="00893968"/>
    <w:rsid w:val="008948F4"/>
    <w:rsid w:val="008952CE"/>
    <w:rsid w:val="008961D5"/>
    <w:rsid w:val="00897460"/>
    <w:rsid w:val="008A1274"/>
    <w:rsid w:val="008A180F"/>
    <w:rsid w:val="008A1B62"/>
    <w:rsid w:val="008A2E4D"/>
    <w:rsid w:val="008A719E"/>
    <w:rsid w:val="008A7911"/>
    <w:rsid w:val="008B344B"/>
    <w:rsid w:val="008B5C33"/>
    <w:rsid w:val="008B7B30"/>
    <w:rsid w:val="008C0E9E"/>
    <w:rsid w:val="008C16EE"/>
    <w:rsid w:val="008C277F"/>
    <w:rsid w:val="008C288B"/>
    <w:rsid w:val="008C4766"/>
    <w:rsid w:val="008C5562"/>
    <w:rsid w:val="008D01B7"/>
    <w:rsid w:val="008D043B"/>
    <w:rsid w:val="008D0E9C"/>
    <w:rsid w:val="008E01F1"/>
    <w:rsid w:val="008E2946"/>
    <w:rsid w:val="008E464F"/>
    <w:rsid w:val="008F049C"/>
    <w:rsid w:val="008F0567"/>
    <w:rsid w:val="008F0AE7"/>
    <w:rsid w:val="008F1A40"/>
    <w:rsid w:val="008F4557"/>
    <w:rsid w:val="008F61C7"/>
    <w:rsid w:val="008F6828"/>
    <w:rsid w:val="009034A4"/>
    <w:rsid w:val="00910B3C"/>
    <w:rsid w:val="00912604"/>
    <w:rsid w:val="0091365D"/>
    <w:rsid w:val="00915B00"/>
    <w:rsid w:val="00916A1E"/>
    <w:rsid w:val="009174E8"/>
    <w:rsid w:val="00920D90"/>
    <w:rsid w:val="00921748"/>
    <w:rsid w:val="0092685F"/>
    <w:rsid w:val="009274EA"/>
    <w:rsid w:val="0093131B"/>
    <w:rsid w:val="00931E9F"/>
    <w:rsid w:val="0093219E"/>
    <w:rsid w:val="00932BA2"/>
    <w:rsid w:val="00933166"/>
    <w:rsid w:val="00936CFF"/>
    <w:rsid w:val="009433AC"/>
    <w:rsid w:val="009453E6"/>
    <w:rsid w:val="00945A42"/>
    <w:rsid w:val="00950F4E"/>
    <w:rsid w:val="009526E3"/>
    <w:rsid w:val="009629CC"/>
    <w:rsid w:val="00962A95"/>
    <w:rsid w:val="0097030A"/>
    <w:rsid w:val="00971A4A"/>
    <w:rsid w:val="00972E32"/>
    <w:rsid w:val="009732AF"/>
    <w:rsid w:val="0098151C"/>
    <w:rsid w:val="00990BEE"/>
    <w:rsid w:val="009919DE"/>
    <w:rsid w:val="00992536"/>
    <w:rsid w:val="00993ED2"/>
    <w:rsid w:val="009940DC"/>
    <w:rsid w:val="00994706"/>
    <w:rsid w:val="009A0A70"/>
    <w:rsid w:val="009A2228"/>
    <w:rsid w:val="009B1EDB"/>
    <w:rsid w:val="009B2016"/>
    <w:rsid w:val="009B47E1"/>
    <w:rsid w:val="009C3635"/>
    <w:rsid w:val="009C5B0B"/>
    <w:rsid w:val="009C60A9"/>
    <w:rsid w:val="009C69E0"/>
    <w:rsid w:val="009D44D8"/>
    <w:rsid w:val="009D6A37"/>
    <w:rsid w:val="009D6A3A"/>
    <w:rsid w:val="009D7539"/>
    <w:rsid w:val="009E06E0"/>
    <w:rsid w:val="009E1BF3"/>
    <w:rsid w:val="009E21C5"/>
    <w:rsid w:val="009E449F"/>
    <w:rsid w:val="009E4577"/>
    <w:rsid w:val="009E4619"/>
    <w:rsid w:val="009F0387"/>
    <w:rsid w:val="009F2177"/>
    <w:rsid w:val="009F72A6"/>
    <w:rsid w:val="009F73BE"/>
    <w:rsid w:val="009F7CBB"/>
    <w:rsid w:val="00A007B4"/>
    <w:rsid w:val="00A10138"/>
    <w:rsid w:val="00A1106E"/>
    <w:rsid w:val="00A11452"/>
    <w:rsid w:val="00A11FF9"/>
    <w:rsid w:val="00A125F4"/>
    <w:rsid w:val="00A16D16"/>
    <w:rsid w:val="00A16FE6"/>
    <w:rsid w:val="00A2197D"/>
    <w:rsid w:val="00A2373F"/>
    <w:rsid w:val="00A2696C"/>
    <w:rsid w:val="00A2786B"/>
    <w:rsid w:val="00A327A8"/>
    <w:rsid w:val="00A34E7E"/>
    <w:rsid w:val="00A37198"/>
    <w:rsid w:val="00A3731A"/>
    <w:rsid w:val="00A40138"/>
    <w:rsid w:val="00A40CD3"/>
    <w:rsid w:val="00A41DC7"/>
    <w:rsid w:val="00A44228"/>
    <w:rsid w:val="00A46506"/>
    <w:rsid w:val="00A46A93"/>
    <w:rsid w:val="00A517B6"/>
    <w:rsid w:val="00A51AC7"/>
    <w:rsid w:val="00A66F92"/>
    <w:rsid w:val="00A706F2"/>
    <w:rsid w:val="00A70CB7"/>
    <w:rsid w:val="00A71B37"/>
    <w:rsid w:val="00A71FFB"/>
    <w:rsid w:val="00A731F8"/>
    <w:rsid w:val="00A7373B"/>
    <w:rsid w:val="00A7400C"/>
    <w:rsid w:val="00A77853"/>
    <w:rsid w:val="00A803AB"/>
    <w:rsid w:val="00A82EAC"/>
    <w:rsid w:val="00A8560A"/>
    <w:rsid w:val="00A86345"/>
    <w:rsid w:val="00A90C09"/>
    <w:rsid w:val="00A91584"/>
    <w:rsid w:val="00A91AA9"/>
    <w:rsid w:val="00A91BC5"/>
    <w:rsid w:val="00A950CF"/>
    <w:rsid w:val="00AA0C4E"/>
    <w:rsid w:val="00AA2FEC"/>
    <w:rsid w:val="00AA5A8F"/>
    <w:rsid w:val="00AA5F2D"/>
    <w:rsid w:val="00AA6B32"/>
    <w:rsid w:val="00AA778A"/>
    <w:rsid w:val="00AB000F"/>
    <w:rsid w:val="00AB2BB9"/>
    <w:rsid w:val="00AB4C61"/>
    <w:rsid w:val="00AB5636"/>
    <w:rsid w:val="00AB767C"/>
    <w:rsid w:val="00AB7CE7"/>
    <w:rsid w:val="00AC279A"/>
    <w:rsid w:val="00AC3A6F"/>
    <w:rsid w:val="00AD07C9"/>
    <w:rsid w:val="00AD0D88"/>
    <w:rsid w:val="00AD5563"/>
    <w:rsid w:val="00AD5705"/>
    <w:rsid w:val="00AD68C7"/>
    <w:rsid w:val="00AE04A0"/>
    <w:rsid w:val="00AE33A6"/>
    <w:rsid w:val="00AE3DDB"/>
    <w:rsid w:val="00AE4293"/>
    <w:rsid w:val="00AE5E67"/>
    <w:rsid w:val="00AE672F"/>
    <w:rsid w:val="00AF21B3"/>
    <w:rsid w:val="00AF2641"/>
    <w:rsid w:val="00B0006C"/>
    <w:rsid w:val="00B019AF"/>
    <w:rsid w:val="00B01BF6"/>
    <w:rsid w:val="00B16D5D"/>
    <w:rsid w:val="00B176BB"/>
    <w:rsid w:val="00B21121"/>
    <w:rsid w:val="00B21FEA"/>
    <w:rsid w:val="00B2221D"/>
    <w:rsid w:val="00B24B7D"/>
    <w:rsid w:val="00B26EAA"/>
    <w:rsid w:val="00B27D9A"/>
    <w:rsid w:val="00B309BB"/>
    <w:rsid w:val="00B45A2B"/>
    <w:rsid w:val="00B47758"/>
    <w:rsid w:val="00B5448E"/>
    <w:rsid w:val="00B55AF1"/>
    <w:rsid w:val="00B561DD"/>
    <w:rsid w:val="00B606DF"/>
    <w:rsid w:val="00B60F9E"/>
    <w:rsid w:val="00B624BA"/>
    <w:rsid w:val="00B636BD"/>
    <w:rsid w:val="00B63AB0"/>
    <w:rsid w:val="00B70281"/>
    <w:rsid w:val="00B74618"/>
    <w:rsid w:val="00B76757"/>
    <w:rsid w:val="00B77878"/>
    <w:rsid w:val="00B801BE"/>
    <w:rsid w:val="00B815DB"/>
    <w:rsid w:val="00B8252E"/>
    <w:rsid w:val="00B84B2A"/>
    <w:rsid w:val="00B852CC"/>
    <w:rsid w:val="00B85B49"/>
    <w:rsid w:val="00B9318E"/>
    <w:rsid w:val="00B9425E"/>
    <w:rsid w:val="00B95748"/>
    <w:rsid w:val="00BA0710"/>
    <w:rsid w:val="00BA2C7B"/>
    <w:rsid w:val="00BA3402"/>
    <w:rsid w:val="00BA3660"/>
    <w:rsid w:val="00BA38F1"/>
    <w:rsid w:val="00BA3C6F"/>
    <w:rsid w:val="00BA3DAA"/>
    <w:rsid w:val="00BB0340"/>
    <w:rsid w:val="00BB3155"/>
    <w:rsid w:val="00BB32AD"/>
    <w:rsid w:val="00BC0DAE"/>
    <w:rsid w:val="00BC4EFC"/>
    <w:rsid w:val="00BC5B1E"/>
    <w:rsid w:val="00BC6DB3"/>
    <w:rsid w:val="00BD0BBC"/>
    <w:rsid w:val="00BD3BEF"/>
    <w:rsid w:val="00BD3CDB"/>
    <w:rsid w:val="00BD76EC"/>
    <w:rsid w:val="00BE0032"/>
    <w:rsid w:val="00BE2A6A"/>
    <w:rsid w:val="00BF02CB"/>
    <w:rsid w:val="00BF1B79"/>
    <w:rsid w:val="00C037C6"/>
    <w:rsid w:val="00C058AC"/>
    <w:rsid w:val="00C15B53"/>
    <w:rsid w:val="00C161C3"/>
    <w:rsid w:val="00C21D71"/>
    <w:rsid w:val="00C2204E"/>
    <w:rsid w:val="00C325E6"/>
    <w:rsid w:val="00C32F03"/>
    <w:rsid w:val="00C377AF"/>
    <w:rsid w:val="00C40E90"/>
    <w:rsid w:val="00C411F4"/>
    <w:rsid w:val="00C42F0D"/>
    <w:rsid w:val="00C430D8"/>
    <w:rsid w:val="00C43714"/>
    <w:rsid w:val="00C44CBD"/>
    <w:rsid w:val="00C4504A"/>
    <w:rsid w:val="00C453A0"/>
    <w:rsid w:val="00C45920"/>
    <w:rsid w:val="00C47215"/>
    <w:rsid w:val="00C52E18"/>
    <w:rsid w:val="00C562D9"/>
    <w:rsid w:val="00C6348B"/>
    <w:rsid w:val="00C636EE"/>
    <w:rsid w:val="00C65BF5"/>
    <w:rsid w:val="00C66A33"/>
    <w:rsid w:val="00C678B6"/>
    <w:rsid w:val="00C721FA"/>
    <w:rsid w:val="00C722E4"/>
    <w:rsid w:val="00C748A5"/>
    <w:rsid w:val="00C81565"/>
    <w:rsid w:val="00C839C9"/>
    <w:rsid w:val="00C863B8"/>
    <w:rsid w:val="00C9412B"/>
    <w:rsid w:val="00C96EA5"/>
    <w:rsid w:val="00CA03C5"/>
    <w:rsid w:val="00CA1643"/>
    <w:rsid w:val="00CA312D"/>
    <w:rsid w:val="00CA37D9"/>
    <w:rsid w:val="00CA3B4B"/>
    <w:rsid w:val="00CA3C28"/>
    <w:rsid w:val="00CA677C"/>
    <w:rsid w:val="00CB2F45"/>
    <w:rsid w:val="00CB4249"/>
    <w:rsid w:val="00CB6FFC"/>
    <w:rsid w:val="00CC5DE9"/>
    <w:rsid w:val="00CD0493"/>
    <w:rsid w:val="00CD0DC4"/>
    <w:rsid w:val="00CD16EE"/>
    <w:rsid w:val="00CD2A5A"/>
    <w:rsid w:val="00CD7C92"/>
    <w:rsid w:val="00CE0A1E"/>
    <w:rsid w:val="00CE3922"/>
    <w:rsid w:val="00CE62BD"/>
    <w:rsid w:val="00CE63AE"/>
    <w:rsid w:val="00CE718E"/>
    <w:rsid w:val="00CF1A22"/>
    <w:rsid w:val="00CF58D1"/>
    <w:rsid w:val="00CF5FB2"/>
    <w:rsid w:val="00CF6CDA"/>
    <w:rsid w:val="00CF6F66"/>
    <w:rsid w:val="00D01601"/>
    <w:rsid w:val="00D02F8B"/>
    <w:rsid w:val="00D053D1"/>
    <w:rsid w:val="00D10D1A"/>
    <w:rsid w:val="00D12A1C"/>
    <w:rsid w:val="00D12F93"/>
    <w:rsid w:val="00D21672"/>
    <w:rsid w:val="00D21CAF"/>
    <w:rsid w:val="00D24CB5"/>
    <w:rsid w:val="00D25D6A"/>
    <w:rsid w:val="00D3049E"/>
    <w:rsid w:val="00D40855"/>
    <w:rsid w:val="00D42C8C"/>
    <w:rsid w:val="00D4584E"/>
    <w:rsid w:val="00D4611E"/>
    <w:rsid w:val="00D50B8C"/>
    <w:rsid w:val="00D53EA0"/>
    <w:rsid w:val="00D550E6"/>
    <w:rsid w:val="00D55827"/>
    <w:rsid w:val="00D567F7"/>
    <w:rsid w:val="00D6251C"/>
    <w:rsid w:val="00D65CE1"/>
    <w:rsid w:val="00D669DE"/>
    <w:rsid w:val="00D70A8F"/>
    <w:rsid w:val="00D75D93"/>
    <w:rsid w:val="00D76206"/>
    <w:rsid w:val="00D7722D"/>
    <w:rsid w:val="00D82C29"/>
    <w:rsid w:val="00D82D9E"/>
    <w:rsid w:val="00D858E9"/>
    <w:rsid w:val="00D93F37"/>
    <w:rsid w:val="00D94627"/>
    <w:rsid w:val="00DB35CC"/>
    <w:rsid w:val="00DB3D83"/>
    <w:rsid w:val="00DB50AD"/>
    <w:rsid w:val="00DC24CE"/>
    <w:rsid w:val="00DC2CB1"/>
    <w:rsid w:val="00DC6BB2"/>
    <w:rsid w:val="00DD0F69"/>
    <w:rsid w:val="00DD30E5"/>
    <w:rsid w:val="00DD3810"/>
    <w:rsid w:val="00DE2F57"/>
    <w:rsid w:val="00DE4504"/>
    <w:rsid w:val="00DE6816"/>
    <w:rsid w:val="00DE7E91"/>
    <w:rsid w:val="00DF0EBD"/>
    <w:rsid w:val="00DF1A2C"/>
    <w:rsid w:val="00DF390C"/>
    <w:rsid w:val="00DF58D8"/>
    <w:rsid w:val="00DF734B"/>
    <w:rsid w:val="00DF7A22"/>
    <w:rsid w:val="00E0536A"/>
    <w:rsid w:val="00E073DC"/>
    <w:rsid w:val="00E07C91"/>
    <w:rsid w:val="00E11A79"/>
    <w:rsid w:val="00E1389C"/>
    <w:rsid w:val="00E1619A"/>
    <w:rsid w:val="00E2067D"/>
    <w:rsid w:val="00E23BD3"/>
    <w:rsid w:val="00E3117D"/>
    <w:rsid w:val="00E36692"/>
    <w:rsid w:val="00E366DE"/>
    <w:rsid w:val="00E36C45"/>
    <w:rsid w:val="00E36C7A"/>
    <w:rsid w:val="00E44090"/>
    <w:rsid w:val="00E71B9A"/>
    <w:rsid w:val="00E72AE3"/>
    <w:rsid w:val="00E733A7"/>
    <w:rsid w:val="00E75231"/>
    <w:rsid w:val="00E753BB"/>
    <w:rsid w:val="00E75F69"/>
    <w:rsid w:val="00E80D25"/>
    <w:rsid w:val="00E824EB"/>
    <w:rsid w:val="00E83327"/>
    <w:rsid w:val="00E83EAE"/>
    <w:rsid w:val="00E86A41"/>
    <w:rsid w:val="00E91E51"/>
    <w:rsid w:val="00E9481D"/>
    <w:rsid w:val="00E96BC6"/>
    <w:rsid w:val="00EA0119"/>
    <w:rsid w:val="00EA1511"/>
    <w:rsid w:val="00EA36B2"/>
    <w:rsid w:val="00EB2419"/>
    <w:rsid w:val="00EB321A"/>
    <w:rsid w:val="00EB4637"/>
    <w:rsid w:val="00EC012B"/>
    <w:rsid w:val="00EC2B76"/>
    <w:rsid w:val="00EC3211"/>
    <w:rsid w:val="00EC51AA"/>
    <w:rsid w:val="00ED22D3"/>
    <w:rsid w:val="00ED2628"/>
    <w:rsid w:val="00ED299F"/>
    <w:rsid w:val="00ED305E"/>
    <w:rsid w:val="00ED4928"/>
    <w:rsid w:val="00EE14FC"/>
    <w:rsid w:val="00EE2FDF"/>
    <w:rsid w:val="00EE2FFD"/>
    <w:rsid w:val="00EE4D52"/>
    <w:rsid w:val="00EE61FE"/>
    <w:rsid w:val="00EF1B21"/>
    <w:rsid w:val="00EF25C1"/>
    <w:rsid w:val="00EF3908"/>
    <w:rsid w:val="00EF7AB3"/>
    <w:rsid w:val="00F0045B"/>
    <w:rsid w:val="00F03B93"/>
    <w:rsid w:val="00F07044"/>
    <w:rsid w:val="00F12334"/>
    <w:rsid w:val="00F12EB7"/>
    <w:rsid w:val="00F13A4E"/>
    <w:rsid w:val="00F16D86"/>
    <w:rsid w:val="00F22160"/>
    <w:rsid w:val="00F222F2"/>
    <w:rsid w:val="00F22C38"/>
    <w:rsid w:val="00F24368"/>
    <w:rsid w:val="00F26301"/>
    <w:rsid w:val="00F313EB"/>
    <w:rsid w:val="00F3298E"/>
    <w:rsid w:val="00F36219"/>
    <w:rsid w:val="00F36ECC"/>
    <w:rsid w:val="00F41189"/>
    <w:rsid w:val="00F4507E"/>
    <w:rsid w:val="00F507F6"/>
    <w:rsid w:val="00F538D0"/>
    <w:rsid w:val="00F54A00"/>
    <w:rsid w:val="00F54FEF"/>
    <w:rsid w:val="00F558C5"/>
    <w:rsid w:val="00F56638"/>
    <w:rsid w:val="00F578E7"/>
    <w:rsid w:val="00F57E1E"/>
    <w:rsid w:val="00F626EE"/>
    <w:rsid w:val="00F63D7D"/>
    <w:rsid w:val="00F648A6"/>
    <w:rsid w:val="00F65451"/>
    <w:rsid w:val="00F7075F"/>
    <w:rsid w:val="00F74B1A"/>
    <w:rsid w:val="00F762C4"/>
    <w:rsid w:val="00F77F62"/>
    <w:rsid w:val="00F81440"/>
    <w:rsid w:val="00F82821"/>
    <w:rsid w:val="00F82B30"/>
    <w:rsid w:val="00F85F08"/>
    <w:rsid w:val="00F863D9"/>
    <w:rsid w:val="00F9125D"/>
    <w:rsid w:val="00F913FD"/>
    <w:rsid w:val="00F92459"/>
    <w:rsid w:val="00F92682"/>
    <w:rsid w:val="00F940B6"/>
    <w:rsid w:val="00FA0010"/>
    <w:rsid w:val="00FA0BAD"/>
    <w:rsid w:val="00FA2773"/>
    <w:rsid w:val="00FA3A4E"/>
    <w:rsid w:val="00FA61CD"/>
    <w:rsid w:val="00FA6CA1"/>
    <w:rsid w:val="00FB5DE3"/>
    <w:rsid w:val="00FC014E"/>
    <w:rsid w:val="00FC3D7A"/>
    <w:rsid w:val="00FC3FFA"/>
    <w:rsid w:val="00FC4DAC"/>
    <w:rsid w:val="00FC5260"/>
    <w:rsid w:val="00FC6BE6"/>
    <w:rsid w:val="00FD0208"/>
    <w:rsid w:val="00FD2019"/>
    <w:rsid w:val="00FD409F"/>
    <w:rsid w:val="00FD5ADC"/>
    <w:rsid w:val="00FD655C"/>
    <w:rsid w:val="00FD77FF"/>
    <w:rsid w:val="00FD7E2E"/>
    <w:rsid w:val="00FE00DB"/>
    <w:rsid w:val="00FE11C7"/>
    <w:rsid w:val="00FE375C"/>
    <w:rsid w:val="00FE442E"/>
    <w:rsid w:val="00FE54B4"/>
    <w:rsid w:val="00FF257C"/>
    <w:rsid w:val="00FF27D8"/>
    <w:rsid w:val="02385327"/>
    <w:rsid w:val="062C3B39"/>
    <w:rsid w:val="06D35A7E"/>
    <w:rsid w:val="07104C1B"/>
    <w:rsid w:val="07AB16C6"/>
    <w:rsid w:val="09451BAD"/>
    <w:rsid w:val="0B3D2702"/>
    <w:rsid w:val="0BDC112E"/>
    <w:rsid w:val="11D010D8"/>
    <w:rsid w:val="11DF5196"/>
    <w:rsid w:val="142E5D27"/>
    <w:rsid w:val="175758C7"/>
    <w:rsid w:val="18A0328A"/>
    <w:rsid w:val="192277D2"/>
    <w:rsid w:val="1FE22F21"/>
    <w:rsid w:val="21D3690A"/>
    <w:rsid w:val="23286457"/>
    <w:rsid w:val="24516190"/>
    <w:rsid w:val="25375FE9"/>
    <w:rsid w:val="281F302C"/>
    <w:rsid w:val="283D7E81"/>
    <w:rsid w:val="284C3A54"/>
    <w:rsid w:val="2B6C257B"/>
    <w:rsid w:val="2BC44C0A"/>
    <w:rsid w:val="2D705A92"/>
    <w:rsid w:val="2DFB0384"/>
    <w:rsid w:val="30DB2E0C"/>
    <w:rsid w:val="312E21D1"/>
    <w:rsid w:val="32B11E05"/>
    <w:rsid w:val="34161A40"/>
    <w:rsid w:val="3DC374AD"/>
    <w:rsid w:val="3E5647AD"/>
    <w:rsid w:val="3E943AFB"/>
    <w:rsid w:val="4137628F"/>
    <w:rsid w:val="419A2525"/>
    <w:rsid w:val="44256024"/>
    <w:rsid w:val="46FE5D49"/>
    <w:rsid w:val="477E4B57"/>
    <w:rsid w:val="482C3F8F"/>
    <w:rsid w:val="49EE1DCD"/>
    <w:rsid w:val="4D3C18A2"/>
    <w:rsid w:val="56EC1DEF"/>
    <w:rsid w:val="56F3533B"/>
    <w:rsid w:val="58D76683"/>
    <w:rsid w:val="5B583343"/>
    <w:rsid w:val="5DFE0F9A"/>
    <w:rsid w:val="5E7C7B10"/>
    <w:rsid w:val="60E455D3"/>
    <w:rsid w:val="637711D4"/>
    <w:rsid w:val="63A213F4"/>
    <w:rsid w:val="63EA4983"/>
    <w:rsid w:val="643A5E7D"/>
    <w:rsid w:val="6CD11707"/>
    <w:rsid w:val="6DEA1F3B"/>
    <w:rsid w:val="6F55309A"/>
    <w:rsid w:val="75630D2C"/>
    <w:rsid w:val="78E01320"/>
    <w:rsid w:val="79894B12"/>
    <w:rsid w:val="7A4C50B6"/>
    <w:rsid w:val="7E631F68"/>
    <w:rsid w:val="7F1C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3" w:firstLineChars="200"/>
      <w:jc w:val="both"/>
    </w:pPr>
    <w:rPr>
      <w:rFonts w:ascii="宋体" w:hAnsi="Calibri" w:eastAsia="宋体" w:cs="Times New Roman"/>
      <w:kern w:val="2"/>
      <w:sz w:val="21"/>
      <w:szCs w:val="22"/>
      <w:lang w:val="en-US" w:eastAsia="zh-CN" w:bidi="ar-SA"/>
    </w:rPr>
  </w:style>
  <w:style w:type="paragraph" w:styleId="3">
    <w:name w:val="heading 1"/>
    <w:basedOn w:val="1"/>
    <w:next w:val="1"/>
    <w:link w:val="41"/>
    <w:qFormat/>
    <w:uiPriority w:val="0"/>
    <w:pPr>
      <w:keepNext/>
      <w:keepLines/>
      <w:ind w:firstLine="643"/>
      <w:outlineLvl w:val="0"/>
    </w:pPr>
    <w:rPr>
      <w:rFonts w:ascii="Times New Roman" w:hAnsi="Times New Roman" w:eastAsia="黑体"/>
      <w:bCs/>
      <w:kern w:val="44"/>
      <w:sz w:val="32"/>
      <w:szCs w:val="30"/>
    </w:rPr>
  </w:style>
  <w:style w:type="paragraph" w:styleId="4">
    <w:name w:val="heading 2"/>
    <w:basedOn w:val="1"/>
    <w:next w:val="1"/>
    <w:link w:val="42"/>
    <w:qFormat/>
    <w:uiPriority w:val="99"/>
    <w:pPr>
      <w:keepNext/>
      <w:keepLines/>
      <w:ind w:firstLine="200"/>
      <w:outlineLvl w:val="1"/>
    </w:pPr>
    <w:rPr>
      <w:rFonts w:ascii="Arial" w:hAnsi="Arial" w:eastAsia="黑体"/>
      <w:bCs/>
      <w:sz w:val="32"/>
      <w:szCs w:val="28"/>
    </w:rPr>
  </w:style>
  <w:style w:type="paragraph" w:styleId="5">
    <w:name w:val="heading 3"/>
    <w:basedOn w:val="1"/>
    <w:next w:val="1"/>
    <w:link w:val="80"/>
    <w:unhideWhenUsed/>
    <w:qFormat/>
    <w:uiPriority w:val="9"/>
    <w:pPr>
      <w:keepNext/>
      <w:keepLines/>
      <w:outlineLvl w:val="2"/>
    </w:pPr>
    <w:rPr>
      <w:rFonts w:eastAsia="仿宋"/>
      <w:bCs/>
      <w:sz w:val="32"/>
      <w:szCs w:val="32"/>
    </w:rPr>
  </w:style>
  <w:style w:type="paragraph" w:styleId="6">
    <w:name w:val="heading 4"/>
    <w:basedOn w:val="1"/>
    <w:next w:val="1"/>
    <w:unhideWhenUsed/>
    <w:qFormat/>
    <w:uiPriority w:val="9"/>
    <w:pPr>
      <w:keepNext/>
      <w:keepLines/>
      <w:outlineLvl w:val="3"/>
    </w:pPr>
    <w:rPr>
      <w:rFonts w:ascii="Arial" w:hAnsi="Arial" w:eastAsia="仿宋"/>
      <w:sz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ind w:firstLine="480"/>
    </w:pPr>
    <w:rPr>
      <w:rFonts w:asciiTheme="minorHAnsi" w:hAnsiTheme="minorHAnsi" w:eastAsiaTheme="minorEastAsia" w:cstheme="minorBidi"/>
      <w:szCs w:val="24"/>
      <w:lang w:val="zh-CN"/>
    </w:rPr>
  </w:style>
  <w:style w:type="paragraph" w:styleId="7">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rPr>
  </w:style>
  <w:style w:type="paragraph" w:styleId="8">
    <w:name w:val="Normal Indent"/>
    <w:basedOn w:val="1"/>
    <w:qFormat/>
    <w:uiPriority w:val="99"/>
    <w:pPr>
      <w:widowControl/>
      <w:spacing w:before="100" w:beforeAutospacing="1" w:after="100" w:afterAutospacing="1"/>
      <w:jc w:val="left"/>
    </w:pPr>
    <w:rPr>
      <w:rFonts w:hAnsi="宋体" w:cs="宋体"/>
      <w:kern w:val="0"/>
      <w:sz w:val="24"/>
      <w:szCs w:val="24"/>
    </w:rPr>
  </w:style>
  <w:style w:type="paragraph" w:styleId="9">
    <w:name w:val="Document Map"/>
    <w:basedOn w:val="1"/>
    <w:link w:val="79"/>
    <w:semiHidden/>
    <w:unhideWhenUsed/>
    <w:qFormat/>
    <w:uiPriority w:val="99"/>
    <w:rPr>
      <w:sz w:val="18"/>
      <w:szCs w:val="18"/>
    </w:rPr>
  </w:style>
  <w:style w:type="paragraph" w:styleId="10">
    <w:name w:val="annotation text"/>
    <w:basedOn w:val="1"/>
    <w:link w:val="45"/>
    <w:semiHidden/>
    <w:qFormat/>
    <w:uiPriority w:val="99"/>
    <w:pPr>
      <w:jc w:val="left"/>
    </w:pPr>
  </w:style>
  <w:style w:type="paragraph" w:styleId="11">
    <w:name w:val="Body Text"/>
    <w:basedOn w:val="1"/>
    <w:link w:val="47"/>
    <w:qFormat/>
    <w:uiPriority w:val="99"/>
    <w:pPr>
      <w:spacing w:after="120"/>
    </w:pPr>
    <w:rPr>
      <w:rFonts w:ascii="Times New Roman" w:hAnsi="Times New Roman"/>
      <w:szCs w:val="24"/>
    </w:rPr>
  </w:style>
  <w:style w:type="paragraph" w:styleId="12">
    <w:name w:val="Body Text Indent"/>
    <w:basedOn w:val="1"/>
    <w:link w:val="48"/>
    <w:qFormat/>
    <w:uiPriority w:val="99"/>
    <w:pPr>
      <w:spacing w:after="120"/>
      <w:ind w:left="420" w:leftChars="200"/>
    </w:pPr>
    <w:rPr>
      <w:rFonts w:ascii="Times New Roman" w:hAnsi="Times New Roman"/>
      <w:szCs w:val="24"/>
    </w:rPr>
  </w:style>
  <w:style w:type="paragraph" w:styleId="13">
    <w:name w:val="toc 5"/>
    <w:basedOn w:val="1"/>
    <w:next w:val="1"/>
    <w:unhideWhenUsed/>
    <w:qFormat/>
    <w:uiPriority w:val="39"/>
    <w:pPr>
      <w:spacing w:line="240" w:lineRule="auto"/>
      <w:ind w:left="1680" w:leftChars="800" w:firstLine="0" w:firstLineChars="0"/>
    </w:pPr>
    <w:rPr>
      <w:rFonts w:asciiTheme="minorHAnsi" w:hAnsiTheme="minorHAnsi" w:eastAsiaTheme="minorEastAsia" w:cstheme="minorBidi"/>
    </w:rPr>
  </w:style>
  <w:style w:type="paragraph" w:styleId="14">
    <w:name w:val="toc 3"/>
    <w:basedOn w:val="1"/>
    <w:next w:val="1"/>
    <w:qFormat/>
    <w:uiPriority w:val="39"/>
    <w:pPr>
      <w:widowControl/>
      <w:spacing w:line="360" w:lineRule="auto"/>
      <w:ind w:firstLine="200"/>
      <w:jc w:val="left"/>
    </w:pPr>
    <w:rPr>
      <w:rFonts w:ascii="Times New Roman" w:hAnsi="Times New Roman"/>
      <w:kern w:val="0"/>
      <w:sz w:val="22"/>
    </w:rPr>
  </w:style>
  <w:style w:type="paragraph" w:styleId="15">
    <w:name w:val="Plain Text"/>
    <w:basedOn w:val="1"/>
    <w:link w:val="49"/>
    <w:qFormat/>
    <w:uiPriority w:val="99"/>
    <w:rPr>
      <w:rFonts w:hAnsi="Courier New"/>
      <w:szCs w:val="21"/>
    </w:rPr>
  </w:style>
  <w:style w:type="paragraph" w:styleId="16">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rPr>
  </w:style>
  <w:style w:type="paragraph" w:styleId="17">
    <w:name w:val="Date"/>
    <w:basedOn w:val="1"/>
    <w:next w:val="1"/>
    <w:link w:val="50"/>
    <w:qFormat/>
    <w:uiPriority w:val="99"/>
    <w:pPr>
      <w:ind w:left="100" w:leftChars="2500"/>
    </w:pPr>
  </w:style>
  <w:style w:type="paragraph" w:styleId="18">
    <w:name w:val="Body Text Indent 2"/>
    <w:basedOn w:val="1"/>
    <w:link w:val="75"/>
    <w:unhideWhenUsed/>
    <w:qFormat/>
    <w:uiPriority w:val="99"/>
    <w:pPr>
      <w:spacing w:after="120" w:line="480" w:lineRule="auto"/>
      <w:ind w:left="420" w:leftChars="200"/>
    </w:pPr>
  </w:style>
  <w:style w:type="paragraph" w:styleId="19">
    <w:name w:val="Balloon Text"/>
    <w:basedOn w:val="1"/>
    <w:link w:val="51"/>
    <w:semiHidden/>
    <w:qFormat/>
    <w:uiPriority w:val="99"/>
    <w:rPr>
      <w:sz w:val="18"/>
      <w:szCs w:val="18"/>
    </w:rPr>
  </w:style>
  <w:style w:type="paragraph" w:styleId="20">
    <w:name w:val="footer"/>
    <w:basedOn w:val="1"/>
    <w:link w:val="44"/>
    <w:unhideWhenUsed/>
    <w:qFormat/>
    <w:uiPriority w:val="99"/>
    <w:pPr>
      <w:tabs>
        <w:tab w:val="center" w:pos="4153"/>
        <w:tab w:val="right" w:pos="8306"/>
      </w:tabs>
      <w:snapToGrid w:val="0"/>
      <w:jc w:val="left"/>
    </w:pPr>
    <w:rPr>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line="360" w:lineRule="auto"/>
      <w:ind w:firstLine="0" w:firstLineChars="0"/>
    </w:pPr>
    <w:rPr>
      <w:rFonts w:ascii="Times New Roman" w:hAnsi="Times New Roman"/>
      <w:b/>
      <w:sz w:val="28"/>
      <w:szCs w:val="24"/>
    </w:rPr>
  </w:style>
  <w:style w:type="paragraph" w:styleId="23">
    <w:name w:val="toc 4"/>
    <w:basedOn w:val="1"/>
    <w:next w:val="1"/>
    <w:unhideWhenUsed/>
    <w:qFormat/>
    <w:uiPriority w:val="39"/>
    <w:pPr>
      <w:ind w:left="1260" w:leftChars="600"/>
    </w:pPr>
  </w:style>
  <w:style w:type="paragraph" w:styleId="24">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rPr>
  </w:style>
  <w:style w:type="paragraph" w:styleId="25">
    <w:name w:val="Body Text Indent 3"/>
    <w:basedOn w:val="1"/>
    <w:link w:val="52"/>
    <w:qFormat/>
    <w:uiPriority w:val="99"/>
    <w:pPr>
      <w:spacing w:after="120"/>
      <w:ind w:left="420" w:leftChars="200"/>
    </w:pPr>
    <w:rPr>
      <w:rFonts w:ascii="Times New Roman" w:hAnsi="Times New Roman"/>
      <w:sz w:val="16"/>
      <w:szCs w:val="16"/>
    </w:rPr>
  </w:style>
  <w:style w:type="paragraph" w:styleId="26">
    <w:name w:val="toc 2"/>
    <w:basedOn w:val="1"/>
    <w:next w:val="1"/>
    <w:qFormat/>
    <w:uiPriority w:val="39"/>
    <w:pPr>
      <w:spacing w:line="360" w:lineRule="auto"/>
      <w:ind w:firstLine="0" w:firstLineChars="0"/>
    </w:pPr>
    <w:rPr>
      <w:rFonts w:ascii="Times New Roman" w:hAnsi="Times New Roman"/>
      <w:sz w:val="22"/>
      <w:szCs w:val="24"/>
    </w:rPr>
  </w:style>
  <w:style w:type="paragraph" w:styleId="27">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rPr>
  </w:style>
  <w:style w:type="paragraph" w:styleId="28">
    <w:name w:val="HTML Preformatted"/>
    <w:basedOn w:val="1"/>
    <w:link w:val="5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9">
    <w:name w:val="Normal (Web)"/>
    <w:basedOn w:val="1"/>
    <w:qFormat/>
    <w:uiPriority w:val="99"/>
    <w:pPr>
      <w:widowControl/>
      <w:spacing w:before="100" w:beforeAutospacing="1" w:after="100" w:afterAutospacing="1"/>
      <w:jc w:val="left"/>
    </w:pPr>
    <w:rPr>
      <w:rFonts w:hAnsi="宋体" w:cs="宋体"/>
      <w:kern w:val="0"/>
      <w:sz w:val="24"/>
      <w:szCs w:val="24"/>
    </w:rPr>
  </w:style>
  <w:style w:type="paragraph" w:styleId="30">
    <w:name w:val="Title"/>
    <w:next w:val="1"/>
    <w:qFormat/>
    <w:uiPriority w:val="0"/>
    <w:pPr>
      <w:widowControl w:val="0"/>
      <w:ind w:firstLine="200" w:firstLineChars="200"/>
      <w:outlineLvl w:val="0"/>
    </w:pPr>
    <w:rPr>
      <w:rFonts w:ascii="等线 Light" w:hAnsi="等线 Light" w:eastAsia="黑体" w:cs="Times New Roman"/>
      <w:bCs/>
      <w:kern w:val="2"/>
      <w:sz w:val="32"/>
      <w:szCs w:val="32"/>
      <w:lang w:val="en-US" w:eastAsia="zh-CN" w:bidi="ar-SA"/>
    </w:rPr>
  </w:style>
  <w:style w:type="paragraph" w:styleId="31">
    <w:name w:val="annotation subject"/>
    <w:basedOn w:val="10"/>
    <w:next w:val="10"/>
    <w:link w:val="46"/>
    <w:semiHidden/>
    <w:qFormat/>
    <w:uiPriority w:val="99"/>
    <w:rPr>
      <w:b/>
      <w:bCs/>
    </w:rPr>
  </w:style>
  <w:style w:type="paragraph" w:styleId="32">
    <w:name w:val="Body Text First Indent"/>
    <w:basedOn w:val="11"/>
    <w:link w:val="84"/>
    <w:unhideWhenUsed/>
    <w:qFormat/>
    <w:uiPriority w:val="99"/>
    <w:pPr>
      <w:ind w:firstLine="420" w:firstLineChars="100"/>
    </w:pPr>
    <w:rPr>
      <w:rFonts w:ascii="Calibri" w:hAnsi="Calibri"/>
      <w:szCs w:val="22"/>
    </w:rPr>
  </w:style>
  <w:style w:type="table" w:styleId="34">
    <w:name w:val="Table Grid"/>
    <w:basedOn w:val="33"/>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22"/>
    <w:rPr>
      <w:rFonts w:cs="Times New Roman"/>
      <w:b/>
    </w:rPr>
  </w:style>
  <w:style w:type="character" w:styleId="37">
    <w:name w:val="page number"/>
    <w:basedOn w:val="35"/>
    <w:qFormat/>
    <w:uiPriority w:val="99"/>
    <w:rPr>
      <w:rFonts w:cs="Times New Roman"/>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Hyperlink"/>
    <w:basedOn w:val="35"/>
    <w:qFormat/>
    <w:uiPriority w:val="99"/>
    <w:rPr>
      <w:rFonts w:cs="Times New Roman"/>
      <w:color w:val="0000FF"/>
      <w:u w:val="single"/>
    </w:rPr>
  </w:style>
  <w:style w:type="character" w:styleId="40">
    <w:name w:val="annotation reference"/>
    <w:basedOn w:val="35"/>
    <w:qFormat/>
    <w:uiPriority w:val="99"/>
    <w:rPr>
      <w:rFonts w:cs="Times New Roman"/>
      <w:sz w:val="21"/>
    </w:rPr>
  </w:style>
  <w:style w:type="character" w:customStyle="1" w:styleId="41">
    <w:name w:val="标题 1 Char"/>
    <w:basedOn w:val="35"/>
    <w:link w:val="3"/>
    <w:qFormat/>
    <w:uiPriority w:val="0"/>
    <w:rPr>
      <w:rFonts w:ascii="Times New Roman" w:hAnsi="Times New Roman" w:eastAsia="黑体" w:cs="Times New Roman"/>
      <w:bCs/>
      <w:kern w:val="44"/>
      <w:sz w:val="32"/>
      <w:szCs w:val="30"/>
    </w:rPr>
  </w:style>
  <w:style w:type="character" w:customStyle="1" w:styleId="42">
    <w:name w:val="标题 2 Char"/>
    <w:basedOn w:val="35"/>
    <w:link w:val="4"/>
    <w:qFormat/>
    <w:uiPriority w:val="99"/>
    <w:rPr>
      <w:rFonts w:ascii="Arial" w:hAnsi="Arial" w:eastAsia="黑体" w:cs="Times New Roman"/>
      <w:bCs/>
      <w:sz w:val="32"/>
      <w:szCs w:val="28"/>
    </w:rPr>
  </w:style>
  <w:style w:type="character" w:customStyle="1" w:styleId="43">
    <w:name w:val="页眉 Char"/>
    <w:basedOn w:val="35"/>
    <w:link w:val="21"/>
    <w:qFormat/>
    <w:uiPriority w:val="99"/>
    <w:rPr>
      <w:sz w:val="18"/>
      <w:szCs w:val="18"/>
    </w:rPr>
  </w:style>
  <w:style w:type="character" w:customStyle="1" w:styleId="44">
    <w:name w:val="页脚 Char"/>
    <w:basedOn w:val="35"/>
    <w:link w:val="20"/>
    <w:qFormat/>
    <w:uiPriority w:val="99"/>
    <w:rPr>
      <w:sz w:val="18"/>
      <w:szCs w:val="18"/>
    </w:rPr>
  </w:style>
  <w:style w:type="character" w:customStyle="1" w:styleId="45">
    <w:name w:val="批注文字 Char"/>
    <w:basedOn w:val="35"/>
    <w:link w:val="10"/>
    <w:semiHidden/>
    <w:qFormat/>
    <w:uiPriority w:val="99"/>
    <w:rPr>
      <w:rFonts w:ascii="Calibri" w:hAnsi="Calibri" w:eastAsia="宋体" w:cs="Times New Roman"/>
    </w:rPr>
  </w:style>
  <w:style w:type="character" w:customStyle="1" w:styleId="46">
    <w:name w:val="批注主题 Char"/>
    <w:basedOn w:val="45"/>
    <w:link w:val="31"/>
    <w:semiHidden/>
    <w:qFormat/>
    <w:uiPriority w:val="99"/>
    <w:rPr>
      <w:rFonts w:ascii="Calibri" w:hAnsi="Calibri" w:eastAsia="宋体" w:cs="Times New Roman"/>
      <w:b/>
      <w:bCs/>
    </w:rPr>
  </w:style>
  <w:style w:type="character" w:customStyle="1" w:styleId="47">
    <w:name w:val="正文文本 Char"/>
    <w:basedOn w:val="35"/>
    <w:link w:val="11"/>
    <w:qFormat/>
    <w:uiPriority w:val="99"/>
    <w:rPr>
      <w:rFonts w:ascii="Times New Roman" w:hAnsi="Times New Roman" w:eastAsia="宋体" w:cs="Times New Roman"/>
      <w:szCs w:val="24"/>
    </w:rPr>
  </w:style>
  <w:style w:type="character" w:customStyle="1" w:styleId="48">
    <w:name w:val="正文文本缩进 Char"/>
    <w:basedOn w:val="35"/>
    <w:link w:val="12"/>
    <w:qFormat/>
    <w:uiPriority w:val="99"/>
    <w:rPr>
      <w:rFonts w:ascii="Times New Roman" w:hAnsi="Times New Roman" w:eastAsia="宋体" w:cs="Times New Roman"/>
      <w:szCs w:val="24"/>
    </w:rPr>
  </w:style>
  <w:style w:type="character" w:customStyle="1" w:styleId="49">
    <w:name w:val="纯文本 Char"/>
    <w:basedOn w:val="35"/>
    <w:link w:val="15"/>
    <w:qFormat/>
    <w:uiPriority w:val="99"/>
    <w:rPr>
      <w:rFonts w:ascii="宋体" w:hAnsi="Courier New" w:eastAsia="宋体" w:cs="Times New Roman"/>
      <w:szCs w:val="21"/>
    </w:rPr>
  </w:style>
  <w:style w:type="character" w:customStyle="1" w:styleId="50">
    <w:name w:val="日期 Char"/>
    <w:basedOn w:val="35"/>
    <w:link w:val="17"/>
    <w:qFormat/>
    <w:uiPriority w:val="99"/>
    <w:rPr>
      <w:rFonts w:ascii="Calibri" w:hAnsi="Calibri" w:eastAsia="宋体" w:cs="Times New Roman"/>
    </w:rPr>
  </w:style>
  <w:style w:type="character" w:customStyle="1" w:styleId="51">
    <w:name w:val="批注框文本 Char"/>
    <w:basedOn w:val="35"/>
    <w:link w:val="19"/>
    <w:semiHidden/>
    <w:qFormat/>
    <w:uiPriority w:val="99"/>
    <w:rPr>
      <w:rFonts w:ascii="Calibri" w:hAnsi="Calibri" w:eastAsia="宋体" w:cs="Times New Roman"/>
      <w:sz w:val="18"/>
      <w:szCs w:val="18"/>
    </w:rPr>
  </w:style>
  <w:style w:type="character" w:customStyle="1" w:styleId="52">
    <w:name w:val="正文文本缩进 3 Char"/>
    <w:basedOn w:val="35"/>
    <w:link w:val="25"/>
    <w:qFormat/>
    <w:uiPriority w:val="99"/>
    <w:rPr>
      <w:rFonts w:ascii="Times New Roman" w:hAnsi="Times New Roman" w:eastAsia="宋体" w:cs="Times New Roman"/>
      <w:sz w:val="16"/>
      <w:szCs w:val="16"/>
    </w:rPr>
  </w:style>
  <w:style w:type="character" w:customStyle="1" w:styleId="53">
    <w:name w:val="HTML 预设格式 Char"/>
    <w:basedOn w:val="35"/>
    <w:link w:val="28"/>
    <w:qFormat/>
    <w:uiPriority w:val="99"/>
    <w:rPr>
      <w:rFonts w:ascii="Arial" w:hAnsi="Arial" w:eastAsia="宋体" w:cs="Times New Roman"/>
      <w:kern w:val="0"/>
      <w:sz w:val="24"/>
      <w:szCs w:val="24"/>
    </w:rPr>
  </w:style>
  <w:style w:type="paragraph" w:customStyle="1" w:styleId="5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55">
    <w:name w:val="reader-word-layer"/>
    <w:basedOn w:val="1"/>
    <w:qFormat/>
    <w:uiPriority w:val="99"/>
    <w:pPr>
      <w:widowControl/>
      <w:spacing w:before="100" w:beforeAutospacing="1" w:after="100" w:afterAutospacing="1"/>
      <w:jc w:val="left"/>
    </w:pPr>
    <w:rPr>
      <w:rFonts w:hAnsi="宋体" w:cs="宋体"/>
      <w:kern w:val="0"/>
      <w:sz w:val="24"/>
      <w:szCs w:val="24"/>
    </w:rPr>
  </w:style>
  <w:style w:type="character" w:customStyle="1" w:styleId="56">
    <w:name w:val="gongkai_content_2_title1"/>
    <w:qFormat/>
    <w:uiPriority w:val="99"/>
    <w:rPr>
      <w:rFonts w:ascii="黑体" w:hAnsi="黑体" w:eastAsia="黑体"/>
      <w:b/>
      <w:sz w:val="28"/>
    </w:rPr>
  </w:style>
  <w:style w:type="paragraph" w:customStyle="1" w:styleId="57">
    <w:name w:val="Char Char1 Char"/>
    <w:basedOn w:val="1"/>
    <w:qFormat/>
    <w:uiPriority w:val="99"/>
    <w:rPr>
      <w:rFonts w:ascii="Times New Roman" w:hAnsi="Times New Roman"/>
      <w:szCs w:val="21"/>
    </w:rPr>
  </w:style>
  <w:style w:type="character" w:customStyle="1" w:styleId="58">
    <w:name w:val="unnamed1"/>
    <w:basedOn w:val="35"/>
    <w:qFormat/>
    <w:uiPriority w:val="99"/>
    <w:rPr>
      <w:rFonts w:cs="Times New Roman"/>
    </w:rPr>
  </w:style>
  <w:style w:type="paragraph" w:customStyle="1" w:styleId="59">
    <w:name w:val="样式1"/>
    <w:basedOn w:val="1"/>
    <w:qFormat/>
    <w:uiPriority w:val="99"/>
    <w:rPr>
      <w:rFonts w:ascii="Times New Roman" w:hAnsi="Times New Roman"/>
      <w:szCs w:val="24"/>
    </w:rPr>
  </w:style>
  <w:style w:type="paragraph" w:customStyle="1" w:styleId="60">
    <w:name w:val="样式2"/>
    <w:basedOn w:val="1"/>
    <w:qFormat/>
    <w:uiPriority w:val="99"/>
    <w:pPr>
      <w:spacing w:line="520" w:lineRule="exact"/>
      <w:ind w:left="210" w:leftChars="100" w:firstLine="480"/>
    </w:pPr>
    <w:rPr>
      <w:rFonts w:ascii="仿宋_GB2312" w:hAnsi="Times New Roman" w:eastAsia="仿宋_GB2312"/>
      <w:color w:val="000000"/>
      <w:sz w:val="24"/>
      <w:szCs w:val="24"/>
    </w:rPr>
  </w:style>
  <w:style w:type="character" w:customStyle="1" w:styleId="61">
    <w:name w:val="Char Char5"/>
    <w:qFormat/>
    <w:uiPriority w:val="99"/>
    <w:rPr>
      <w:rFonts w:ascii="Times New Roman" w:hAnsi="Times New Roman"/>
      <w:kern w:val="2"/>
      <w:sz w:val="18"/>
    </w:rPr>
  </w:style>
  <w:style w:type="character" w:customStyle="1" w:styleId="62">
    <w:name w:val="Char Char4"/>
    <w:qFormat/>
    <w:uiPriority w:val="99"/>
    <w:rPr>
      <w:rFonts w:ascii="Times New Roman" w:hAnsi="Times New Roman"/>
      <w:kern w:val="2"/>
      <w:sz w:val="18"/>
    </w:rPr>
  </w:style>
  <w:style w:type="paragraph" w:customStyle="1" w:styleId="6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64">
    <w:name w:val="grame"/>
    <w:basedOn w:val="35"/>
    <w:qFormat/>
    <w:uiPriority w:val="99"/>
    <w:rPr>
      <w:rFonts w:cs="Times New Roman"/>
    </w:rPr>
  </w:style>
  <w:style w:type="paragraph" w:customStyle="1" w:styleId="65">
    <w:name w:val="专业方案标题2"/>
    <w:basedOn w:val="1"/>
    <w:next w:val="1"/>
    <w:qFormat/>
    <w:uiPriority w:val="99"/>
    <w:pPr>
      <w:spacing w:line="360" w:lineRule="auto"/>
      <w:outlineLvl w:val="3"/>
    </w:pPr>
    <w:rPr>
      <w:rFonts w:ascii="黑体" w:hAnsi="黑体" w:eastAsia="黑体"/>
      <w:szCs w:val="24"/>
    </w:rPr>
  </w:style>
  <w:style w:type="paragraph" w:customStyle="1" w:styleId="66">
    <w:name w:val="专业方案标题3"/>
    <w:basedOn w:val="1"/>
    <w:next w:val="1"/>
    <w:qFormat/>
    <w:uiPriority w:val="99"/>
    <w:pPr>
      <w:spacing w:line="360" w:lineRule="auto"/>
      <w:ind w:firstLine="200"/>
      <w:outlineLvl w:val="4"/>
    </w:pPr>
    <w:rPr>
      <w:rFonts w:ascii="楷体_GB2312" w:hAnsi="Times New Roman" w:eastAsia="楷体_GB2312"/>
      <w:szCs w:val="28"/>
    </w:rPr>
  </w:style>
  <w:style w:type="paragraph" w:customStyle="1" w:styleId="67">
    <w:name w:val="专业方案正文 Char Char"/>
    <w:basedOn w:val="1"/>
    <w:next w:val="1"/>
    <w:link w:val="68"/>
    <w:qFormat/>
    <w:uiPriority w:val="99"/>
    <w:pPr>
      <w:spacing w:line="360" w:lineRule="auto"/>
      <w:ind w:firstLine="200"/>
    </w:pPr>
    <w:rPr>
      <w:rFonts w:hAnsi="宋体"/>
      <w:kern w:val="0"/>
      <w:sz w:val="24"/>
      <w:szCs w:val="20"/>
    </w:rPr>
  </w:style>
  <w:style w:type="character" w:customStyle="1" w:styleId="68">
    <w:name w:val="专业方案正文 Char Char Char"/>
    <w:link w:val="67"/>
    <w:qFormat/>
    <w:locked/>
    <w:uiPriority w:val="99"/>
    <w:rPr>
      <w:rFonts w:ascii="宋体" w:hAnsi="宋体" w:eastAsia="宋体" w:cs="Times New Roman"/>
      <w:kern w:val="0"/>
      <w:sz w:val="24"/>
      <w:szCs w:val="20"/>
    </w:rPr>
  </w:style>
  <w:style w:type="paragraph" w:customStyle="1" w:styleId="69">
    <w:name w:val="1 Char Char Char Char"/>
    <w:basedOn w:val="1"/>
    <w:qFormat/>
    <w:uiPriority w:val="99"/>
    <w:rPr>
      <w:rFonts w:ascii="Tahoma" w:hAnsi="Tahoma"/>
      <w:sz w:val="24"/>
      <w:szCs w:val="20"/>
    </w:rPr>
  </w:style>
  <w:style w:type="paragraph" w:customStyle="1" w:styleId="7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72">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73">
    <w:name w:val="apple-converted-space"/>
    <w:basedOn w:val="35"/>
    <w:qFormat/>
    <w:uiPriority w:val="0"/>
    <w:rPr>
      <w:rFonts w:cs="Times New Roman"/>
    </w:rPr>
  </w:style>
  <w:style w:type="paragraph" w:customStyle="1" w:styleId="7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75">
    <w:name w:val="正文文本缩进 2 Char"/>
    <w:basedOn w:val="35"/>
    <w:link w:val="18"/>
    <w:qFormat/>
    <w:uiPriority w:val="99"/>
    <w:rPr>
      <w:rFonts w:ascii="Calibri" w:hAnsi="Calibri" w:eastAsia="宋体" w:cs="Times New Roman"/>
    </w:rPr>
  </w:style>
  <w:style w:type="paragraph" w:customStyle="1" w:styleId="76">
    <w:name w:val="xl57"/>
    <w:basedOn w:val="1"/>
    <w:qFormat/>
    <w:uiPriority w:val="99"/>
    <w:pPr>
      <w:widowControl/>
      <w:pBdr>
        <w:bottom w:val="single" w:color="auto" w:sz="4" w:space="0"/>
        <w:right w:val="single" w:color="auto" w:sz="4" w:space="0"/>
      </w:pBdr>
      <w:spacing w:before="100" w:beforeAutospacing="1" w:after="100" w:afterAutospacing="1"/>
      <w:jc w:val="center"/>
    </w:pPr>
    <w:rPr>
      <w:rFonts w:hAnsi="宋体"/>
      <w:kern w:val="0"/>
      <w:sz w:val="18"/>
      <w:szCs w:val="18"/>
    </w:rPr>
  </w:style>
  <w:style w:type="paragraph" w:styleId="77">
    <w:name w:val="List Paragraph"/>
    <w:basedOn w:val="1"/>
    <w:qFormat/>
    <w:uiPriority w:val="34"/>
    <w:pPr>
      <w:ind w:firstLine="420"/>
    </w:pPr>
  </w:style>
  <w:style w:type="paragraph" w:customStyle="1" w:styleId="7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9">
    <w:name w:val="文档结构图 Char"/>
    <w:basedOn w:val="35"/>
    <w:link w:val="9"/>
    <w:semiHidden/>
    <w:qFormat/>
    <w:uiPriority w:val="99"/>
    <w:rPr>
      <w:rFonts w:ascii="宋体" w:hAnsi="Calibri" w:eastAsia="宋体" w:cs="Times New Roman"/>
      <w:kern w:val="2"/>
      <w:sz w:val="18"/>
      <w:szCs w:val="18"/>
    </w:rPr>
  </w:style>
  <w:style w:type="character" w:customStyle="1" w:styleId="80">
    <w:name w:val="标题 3 Char"/>
    <w:basedOn w:val="35"/>
    <w:link w:val="5"/>
    <w:semiHidden/>
    <w:qFormat/>
    <w:uiPriority w:val="9"/>
    <w:rPr>
      <w:rFonts w:ascii="Calibri" w:hAnsi="Calibri" w:eastAsia="仿宋" w:cs="Times New Roman"/>
      <w:bCs/>
      <w:kern w:val="2"/>
      <w:sz w:val="32"/>
      <w:szCs w:val="32"/>
    </w:rPr>
  </w:style>
  <w:style w:type="character" w:customStyle="1" w:styleId="81">
    <w:name w:val="style11"/>
    <w:qFormat/>
    <w:uiPriority w:val="0"/>
    <w:rPr>
      <w:color w:val="333333"/>
      <w:sz w:val="18"/>
      <w:szCs w:val="18"/>
    </w:rPr>
  </w:style>
  <w:style w:type="paragraph" w:customStyle="1" w:styleId="82">
    <w:name w:val="样式3"/>
    <w:basedOn w:val="1"/>
    <w:qFormat/>
    <w:uiPriority w:val="99"/>
    <w:pPr>
      <w:jc w:val="center"/>
    </w:pPr>
    <w:rPr>
      <w:rFonts w:hAnsi="宋体"/>
      <w:szCs w:val="21"/>
    </w:rPr>
  </w:style>
  <w:style w:type="table" w:customStyle="1" w:styleId="83">
    <w:name w:val="网格型1"/>
    <w:basedOn w:val="33"/>
    <w:qFormat/>
    <w:uiPriority w:val="39"/>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4">
    <w:name w:val="正文首行缩进 Char"/>
    <w:basedOn w:val="47"/>
    <w:link w:val="32"/>
    <w:semiHidden/>
    <w:qFormat/>
    <w:uiPriority w:val="99"/>
    <w:rPr>
      <w:rFonts w:ascii="Calibri" w:hAnsi="Calibri" w:eastAsia="宋体" w:cs="Times New Roman"/>
      <w:kern w:val="2"/>
      <w:sz w:val="21"/>
      <w:szCs w:val="22"/>
    </w:rPr>
  </w:style>
  <w:style w:type="paragraph" w:customStyle="1" w:styleId="85">
    <w:name w:val="表中文左对齐"/>
    <w:qFormat/>
    <w:uiPriority w:val="0"/>
    <w:rPr>
      <w:rFonts w:ascii="宋体" w:hAnsi="宋体" w:eastAsia="宋体" w:cs="Times New Roman"/>
      <w:sz w:val="21"/>
      <w:szCs w:val="21"/>
      <w:lang w:val="en-US" w:eastAsia="zh-CN" w:bidi="ar-SA"/>
    </w:rPr>
  </w:style>
  <w:style w:type="paragraph" w:customStyle="1" w:styleId="86">
    <w:name w:val="正文小四"/>
    <w:qFormat/>
    <w:uiPriority w:val="0"/>
    <w:pPr>
      <w:widowControl w:val="0"/>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87">
    <w:name w:val="表中文居中"/>
    <w:qFormat/>
    <w:uiPriority w:val="0"/>
    <w:pPr>
      <w:widowControl w:val="0"/>
      <w:spacing w:line="600" w:lineRule="exact"/>
      <w:ind w:firstLine="200" w:firstLineChars="200"/>
      <w:jc w:val="center"/>
    </w:pPr>
    <w:rPr>
      <w:rFonts w:ascii="宋体" w:hAnsi="Times New Roman" w:eastAsia="宋体" w:cs="Times New Roman"/>
      <w:kern w:val="2"/>
      <w:sz w:val="28"/>
      <w:szCs w:val="21"/>
      <w:lang w:val="en-US" w:eastAsia="zh-CN" w:bidi="ar-SA"/>
    </w:rPr>
  </w:style>
  <w:style w:type="paragraph" w:customStyle="1" w:styleId="88">
    <w:name w:val="p"/>
    <w:qFormat/>
    <w:uiPriority w:val="0"/>
    <w:pPr>
      <w:widowControl w:val="0"/>
      <w:spacing w:line="525" w:lineRule="atLeast"/>
      <w:ind w:firstLine="375" w:firstLineChars="200"/>
      <w:jc w:val="both"/>
    </w:pPr>
    <w:rPr>
      <w:rFonts w:ascii="Times New Roman" w:hAnsi="Times New Roman" w:eastAsia="宋体" w:cs="Times New Roman"/>
      <w:kern w:val="2"/>
      <w:sz w:val="28"/>
      <w:szCs w:val="24"/>
      <w:lang w:val="en-US" w:eastAsia="zh-CN" w:bidi="ar-SA"/>
    </w:rPr>
  </w:style>
  <w:style w:type="paragraph" w:customStyle="1" w:styleId="89">
    <w:name w:val="dk表名图名"/>
    <w:basedOn w:val="1"/>
    <w:qFormat/>
    <w:uiPriority w:val="0"/>
    <w:pPr>
      <w:spacing w:line="240" w:lineRule="auto"/>
      <w:ind w:firstLine="0" w:firstLineChars="0"/>
      <w:jc w:val="center"/>
    </w:pPr>
    <w:rPr>
      <w:rFonts w:ascii="Times New Roman" w:hAnsi="Times New Roman"/>
      <w:b/>
      <w:sz w:val="28"/>
      <w:szCs w:val="24"/>
    </w:rPr>
  </w:style>
  <w:style w:type="paragraph" w:customStyle="1" w:styleId="90">
    <w:name w:val="dk一级标题"/>
    <w:basedOn w:val="11"/>
    <w:link w:val="91"/>
    <w:qFormat/>
    <w:uiPriority w:val="0"/>
    <w:pPr>
      <w:keepNext/>
      <w:keepLines/>
      <w:spacing w:after="0"/>
      <w:ind w:firstLine="0" w:firstLineChars="0"/>
      <w:jc w:val="left"/>
      <w:outlineLvl w:val="1"/>
    </w:pPr>
    <w:rPr>
      <w:rFonts w:eastAsia="黑体"/>
      <w:bCs/>
      <w:color w:val="000000"/>
      <w:kern w:val="44"/>
      <w:sz w:val="32"/>
      <w:szCs w:val="30"/>
    </w:rPr>
  </w:style>
  <w:style w:type="character" w:customStyle="1" w:styleId="91">
    <w:name w:val="dk一级标题 字符"/>
    <w:basedOn w:val="47"/>
    <w:link w:val="90"/>
    <w:qFormat/>
    <w:uiPriority w:val="0"/>
    <w:rPr>
      <w:rFonts w:ascii="Times New Roman" w:hAnsi="Times New Roman" w:eastAsia="黑体" w:cs="Times New Roman"/>
      <w:bCs/>
      <w:color w:val="000000"/>
      <w:kern w:val="44"/>
      <w:sz w:val="32"/>
      <w:szCs w:val="30"/>
    </w:rPr>
  </w:style>
  <w:style w:type="paragraph" w:customStyle="1" w:styleId="92">
    <w:name w:val="dk二级标题"/>
    <w:basedOn w:val="1"/>
    <w:link w:val="93"/>
    <w:qFormat/>
    <w:uiPriority w:val="0"/>
    <w:pPr>
      <w:ind w:firstLine="0" w:firstLineChars="0"/>
      <w:outlineLvl w:val="2"/>
    </w:pPr>
    <w:rPr>
      <w:rFonts w:ascii="Times New Roman" w:hAnsi="Times New Roman" w:eastAsia="黑体"/>
      <w:color w:val="000000"/>
      <w:sz w:val="32"/>
      <w:szCs w:val="24"/>
    </w:rPr>
  </w:style>
  <w:style w:type="character" w:customStyle="1" w:styleId="93">
    <w:name w:val="dk二级标题 字符"/>
    <w:basedOn w:val="35"/>
    <w:link w:val="92"/>
    <w:qFormat/>
    <w:uiPriority w:val="0"/>
    <w:rPr>
      <w:rFonts w:eastAsia="黑体"/>
      <w:color w:val="000000"/>
      <w:kern w:val="2"/>
      <w:sz w:val="32"/>
      <w:szCs w:val="24"/>
    </w:rPr>
  </w:style>
  <w:style w:type="paragraph" w:customStyle="1" w:styleId="94">
    <w:name w:val="dk三级标题"/>
    <w:basedOn w:val="1"/>
    <w:link w:val="95"/>
    <w:qFormat/>
    <w:uiPriority w:val="0"/>
    <w:pPr>
      <w:ind w:firstLine="0" w:firstLineChars="0"/>
      <w:jc w:val="left"/>
      <w:outlineLvl w:val="3"/>
    </w:pPr>
    <w:rPr>
      <w:rFonts w:ascii="Times New Roman" w:hAnsi="Times New Roman" w:eastAsia="仿宋"/>
      <w:color w:val="000000"/>
      <w:sz w:val="32"/>
      <w:szCs w:val="24"/>
    </w:rPr>
  </w:style>
  <w:style w:type="character" w:customStyle="1" w:styleId="95">
    <w:name w:val="dk三级标题 字符"/>
    <w:basedOn w:val="35"/>
    <w:link w:val="94"/>
    <w:qFormat/>
    <w:uiPriority w:val="0"/>
    <w:rPr>
      <w:rFonts w:eastAsia="仿宋"/>
      <w:color w:val="000000"/>
      <w:kern w:val="2"/>
      <w:sz w:val="32"/>
      <w:szCs w:val="24"/>
    </w:rPr>
  </w:style>
  <w:style w:type="paragraph" w:customStyle="1" w:styleId="96">
    <w:name w:val="dk四级标题"/>
    <w:basedOn w:val="1"/>
    <w:qFormat/>
    <w:uiPriority w:val="0"/>
    <w:pPr>
      <w:ind w:firstLine="0" w:firstLineChars="0"/>
      <w:jc w:val="left"/>
      <w:outlineLvl w:val="4"/>
    </w:pPr>
    <w:rPr>
      <w:rFonts w:ascii="Times New Roman" w:hAnsi="Times New Roman" w:eastAsia="仿宋"/>
      <w:sz w:val="32"/>
      <w:szCs w:val="24"/>
    </w:rPr>
  </w:style>
  <w:style w:type="paragraph" w:customStyle="1" w:styleId="97">
    <w:name w:val="dk材料题目"/>
    <w:basedOn w:val="1"/>
    <w:link w:val="98"/>
    <w:qFormat/>
    <w:uiPriority w:val="0"/>
    <w:pPr>
      <w:spacing w:afterLines="50" w:line="240" w:lineRule="auto"/>
      <w:ind w:firstLine="0" w:firstLineChars="0"/>
      <w:jc w:val="center"/>
      <w:outlineLvl w:val="0"/>
    </w:pPr>
    <w:rPr>
      <w:rFonts w:ascii="Times New Roman" w:hAnsi="Times New Roman" w:eastAsia="方正小标宋简体"/>
      <w:sz w:val="44"/>
      <w:szCs w:val="44"/>
    </w:rPr>
  </w:style>
  <w:style w:type="character" w:customStyle="1" w:styleId="98">
    <w:name w:val="dk材料题目 字符"/>
    <w:basedOn w:val="35"/>
    <w:link w:val="97"/>
    <w:qFormat/>
    <w:uiPriority w:val="0"/>
    <w:rPr>
      <w:rFonts w:eastAsia="方正小标宋简体"/>
      <w:kern w:val="2"/>
      <w:sz w:val="44"/>
      <w:szCs w:val="44"/>
    </w:rPr>
  </w:style>
  <w:style w:type="paragraph" w:customStyle="1" w:styleId="99">
    <w:name w:val="dk表内文字"/>
    <w:basedOn w:val="1"/>
    <w:link w:val="100"/>
    <w:qFormat/>
    <w:uiPriority w:val="0"/>
    <w:pPr>
      <w:framePr w:hSpace="180" w:wrap="around" w:vAnchor="text" w:hAnchor="margin" w:xAlign="center" w:y="67"/>
      <w:spacing w:line="240" w:lineRule="auto"/>
      <w:ind w:firstLine="0" w:firstLineChars="0"/>
    </w:pPr>
    <w:rPr>
      <w:rFonts w:ascii="Times New Roman" w:hAnsi="Times New Roman"/>
      <w:color w:val="000000"/>
      <w:szCs w:val="21"/>
    </w:rPr>
  </w:style>
  <w:style w:type="character" w:customStyle="1" w:styleId="100">
    <w:name w:val="dk表内文字 字符"/>
    <w:basedOn w:val="35"/>
    <w:link w:val="99"/>
    <w:qFormat/>
    <w:uiPriority w:val="0"/>
    <w:rPr>
      <w:color w:val="000000"/>
      <w:kern w:val="2"/>
      <w:sz w:val="21"/>
      <w:szCs w:val="21"/>
    </w:rPr>
  </w:style>
  <w:style w:type="paragraph" w:customStyle="1" w:styleId="101">
    <w:name w:val="dk正文"/>
    <w:qFormat/>
    <w:uiPriority w:val="0"/>
    <w:pPr>
      <w:widowControl w:val="0"/>
      <w:spacing w:line="600" w:lineRule="exact"/>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102">
    <w:name w:val="文档结构图 Char1"/>
    <w:basedOn w:val="35"/>
    <w:semiHidden/>
    <w:qFormat/>
    <w:uiPriority w:val="99"/>
    <w:rPr>
      <w:rFonts w:hint="eastAsia" w:ascii="Microsoft YaHei UI" w:hAnsi="Calibri" w:eastAsia="Microsoft YaHei UI" w:cs="Times New Roman"/>
      <w:sz w:val="18"/>
      <w:szCs w:val="18"/>
    </w:rPr>
  </w:style>
  <w:style w:type="character" w:customStyle="1" w:styleId="103">
    <w:name w:val="批注文字 Char1"/>
    <w:basedOn w:val="35"/>
    <w:semiHidden/>
    <w:qFormat/>
    <w:uiPriority w:val="99"/>
    <w:rPr>
      <w:rFonts w:hint="default" w:ascii="Calibri" w:hAnsi="Calibri" w:eastAsia="宋体" w:cs="Times New Roman"/>
    </w:rPr>
  </w:style>
  <w:style w:type="character" w:customStyle="1" w:styleId="104">
    <w:name w:val="批注框文本 Char1"/>
    <w:basedOn w:val="35"/>
    <w:semiHidden/>
    <w:qFormat/>
    <w:uiPriority w:val="99"/>
    <w:rPr>
      <w:rFonts w:hint="default" w:ascii="Calibri" w:hAnsi="Calibri" w:eastAsia="宋体" w:cs="Times New Roman"/>
      <w:sz w:val="18"/>
      <w:szCs w:val="18"/>
    </w:rPr>
  </w:style>
  <w:style w:type="character" w:customStyle="1" w:styleId="105">
    <w:name w:val="批注主题 Char1"/>
    <w:basedOn w:val="103"/>
    <w:semiHidden/>
    <w:qFormat/>
    <w:uiPriority w:val="99"/>
    <w:rPr>
      <w:rFonts w:hint="default" w:ascii="Calibri" w:hAnsi="Calibri" w:eastAsia="宋体" w:cs="Times New Roman"/>
      <w:b/>
      <w:bCs/>
    </w:rPr>
  </w:style>
  <w:style w:type="character" w:customStyle="1" w:styleId="106">
    <w:name w:val="正文首行缩进 Char1"/>
    <w:basedOn w:val="47"/>
    <w:semiHidden/>
    <w:qFormat/>
    <w:uiPriority w:val="99"/>
    <w:rPr>
      <w:rFonts w:hint="default"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6C16-73AA-4354-9232-08A8BDD5EC96}">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33</Pages>
  <Words>14881</Words>
  <Characters>16523</Characters>
  <Lines>1082</Lines>
  <Paragraphs>304</Paragraphs>
  <TotalTime>600</TotalTime>
  <ScaleCrop>false</ScaleCrop>
  <LinksUpToDate>false</LinksUpToDate>
  <CharactersWithSpaces>16689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2022-01-06T04:21:00Z</dcterms:created>
  <dc:creator>Windows 用户</dc:creator>
  <cp:lastModifiedBy>荷塘月色</cp:lastModifiedBy>
  <cp:lastPrinted>2021-06-29T08:37:00Z</cp:lastPrinted>
  <dcterms:modified xsi:type="dcterms:W3CDTF">2023-12-11T01:19:17Z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2052-12.1.0.15990</vt:lpwstr>
  </property>
  <property fmtid="{D5CDD505-2E9C-101B-9397-08002B2CF9AE}" pid="4" name="ICV">
    <vt:lpwstr>5ECCF93224864A79996C9FF0BD9DB8ED</vt:lpwstr>
  </property>
</Properties>
</file>